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exact" w:line="170" w:before="0" w:after="80"/>
        <w:contextualSpacing/>
        <w:jc w:val="center"/>
        <w:rPr>
          <w:sz w:val="44"/>
          <w:szCs w:val="56"/>
        </w:rPr>
      </w:pPr>
      <w:r>
        <w:rPr>
          <w:sz w:val="44"/>
          <w:szCs w:val="56"/>
        </w:rPr>
      </w:r>
    </w:p>
    <w:p>
      <w:pPr>
        <w:pStyle w:val="Title"/>
        <w:spacing w:lineRule="auto" w:line="360" w:before="0" w:after="80"/>
        <w:contextualSpacing/>
        <w:jc w:val="center"/>
        <w:rPr>
          <w:sz w:val="44"/>
          <w:szCs w:val="56"/>
        </w:rPr>
      </w:pPr>
      <w:r>
        <w:rPr>
          <w:sz w:val="44"/>
          <w:szCs w:val="56"/>
        </w:rPr>
        <w:t xml:space="preserve">Výpis usnesení zasedání zastupitelstva obce Bulovka</w:t>
      </w:r>
    </w:p>
    <w:p>
      <w:pPr>
        <w:pStyle w:val="Normal"/>
        <w:spacing w:lineRule="exact" w:line="28" w:before="0" w:after="80"/>
        <w:contextualSpacing/>
        <w:jc w:val="center"/>
        <w:rPr>
          <w:sz w:val="20"/>
          <w:szCs w:val="56"/>
        </w:rPr>
      </w:pPr>
      <w:r>
        <w:rPr>
          <w:sz w:val="20"/>
          <w:szCs w:val="56"/>
        </w:rPr>
      </w:r>
    </w:p>
    <w:tbl>
      <w:tblPr>
        <w:tblW w:w="5000" w:type="pct"/>
        <w:jc w:val="left"/>
        <w:tblInd w:w="0" w:type="dxa"/>
        <w:tblLayout w:type="fixed"/>
        <w:tblCellMar>
          <w:top w:w="55" w:type="dxa"/>
          <w:left w:w="55" w:type="dxa"/>
          <w:bottom w:w="55" w:type="dxa"/>
          <w:right w:w="55" w:type="dxa"/>
        </w:tblCellMar>
      </w:tblPr>
      <w:tblGrid>
        <w:gridCol w:w="4679"/>
        <w:gridCol w:w="4680"/>
      </w:tblGrid>
      <w:tr>
        <w:trPr/>
        <w:tc>
          <w:tcPr>
            <w:tcW w:w="4679" w:type="dxa"/>
            <w:tcBorders>
              <w:top w:val="single" w:sz="4" w:space="0" w:color="000000"/>
            </w:tcBorders>
            <w:vAlign w:val="center"/>
          </w:tcPr>
          <w:p>
            <w:pPr>
              <w:pStyle w:val="Normal"/>
              <w:widowControl w:val="false"/>
              <w:spacing w:lineRule="auto" w:line="240" w:before="0" w:after="80"/>
              <w:contextualSpacing/>
              <w:jc w:val="left"/>
              <w:rPr/>
            </w:pPr>
            <w:r>
              <w:rPr/>
              <w:t>Zastupitelstvo číslo:</w:t>
            </w:r>
          </w:p>
        </w:tc>
        <w:tc>
          <w:tcPr>
            <w:tcW w:w="4680" w:type="dxa"/>
            <w:tcBorders>
              <w:top w:val="single" w:sz="4" w:space="0" w:color="000000"/>
            </w:tcBorders>
            <w:vAlign w:val="center"/>
          </w:tcPr>
          <w:p>
            <w:pPr>
              <w:pStyle w:val="Normal"/>
              <w:widowControl w:val="false"/>
              <w:spacing w:lineRule="auto" w:line="240" w:before="0" w:after="80"/>
              <w:contextualSpacing/>
              <w:jc w:val="left"/>
              <w:rPr>
                <w:b/>
                <w:b/>
                <w:bCs/>
              </w:rPr>
            </w:pPr>
            <w:r>
              <w:rPr>
                <w:b/>
                <w:bCs/>
              </w:rPr>
              <w:t xml:space="preserve">36</w:t>
            </w:r>
          </w:p>
        </w:tc>
      </w:tr>
      <w:tr>
        <w:trPr/>
        <w:tc>
          <w:tcPr>
            <w:tcW w:w="4679" w:type="dxa"/>
            <w:tcBorders/>
            <w:vAlign w:val="center"/>
          </w:tcPr>
          <w:p>
            <w:pPr>
              <w:pStyle w:val="Normal"/>
              <w:widowControl w:val="false"/>
              <w:spacing w:lineRule="auto" w:line="240" w:before="0" w:after="80"/>
              <w:contextualSpacing/>
              <w:jc w:val="left"/>
              <w:rPr/>
            </w:pPr>
            <w:r>
              <w:rPr/>
              <w:t>Místo konání zasedání zastupitelstva:</w:t>
            </w:r>
          </w:p>
        </w:tc>
        <w:tc>
          <w:tcPr>
            <w:tcW w:w="4680" w:type="dxa"/>
            <w:tcBorders/>
            <w:vAlign w:val="center"/>
          </w:tcPr>
          <w:p>
            <w:pPr>
              <w:pStyle w:val="Normal"/>
              <w:widowControl w:val="false"/>
              <w:spacing w:lineRule="auto" w:line="240" w:before="0" w:after="80"/>
              <w:contextualSpacing/>
              <w:jc w:val="left"/>
              <w:rPr>
                <w:b/>
                <w:b/>
                <w:bCs/>
              </w:rPr>
            </w:pPr>
            <w:r>
              <w:rPr>
                <w:b/>
                <w:bCs/>
              </w:rPr>
              <w:t xml:space="preserve">Zasedací místnost obecního úřadu Bulovka</w:t>
            </w:r>
          </w:p>
        </w:tc>
      </w:tr>
      <w:tr>
        <w:trPr/>
        <w:tc>
          <w:tcPr>
            <w:tcW w:w="4679" w:type="dxa"/>
            <w:tcBorders/>
            <w:vAlign w:val="center"/>
          </w:tcPr>
          <w:p>
            <w:pPr>
              <w:pStyle w:val="Normal"/>
              <w:widowControl w:val="false"/>
              <w:spacing w:lineRule="auto" w:line="240" w:before="0" w:after="80"/>
              <w:contextualSpacing/>
              <w:jc w:val="left"/>
              <w:rPr/>
            </w:pPr>
            <w:r>
              <w:rPr/>
              <w:t>Datum konání zastupitelstva:</w:t>
            </w:r>
          </w:p>
        </w:tc>
        <w:tc>
          <w:tcPr>
            <w:tcW w:w="4680" w:type="dxa"/>
            <w:tcBorders/>
            <w:vAlign w:val="center"/>
          </w:tcPr>
          <w:p>
            <w:pPr>
              <w:pStyle w:val="Normal"/>
              <w:widowControl w:val="false"/>
              <w:spacing w:lineRule="auto" w:line="240" w:before="0" w:after="80"/>
              <w:contextualSpacing/>
              <w:jc w:val="left"/>
              <w:rPr>
                <w:b/>
                <w:b/>
                <w:bCs/>
              </w:rPr>
            </w:pPr>
            <w:r>
              <w:rPr>
                <w:b/>
                <w:bCs/>
              </w:rPr>
              <w:t xml:space="preserve">9. 6. 2026</w:t>
            </w:r>
          </w:p>
        </w:tc>
      </w:tr>
      <w:tr>
        <w:trPr/>
        <w:tc>
          <w:tcPr>
            <w:tcW w:w="4679" w:type="dxa"/>
            <w:tcBorders/>
            <w:vAlign w:val="center"/>
          </w:tcPr>
          <w:p>
            <w:pPr>
              <w:pStyle w:val="Normal"/>
              <w:widowControl w:val="false"/>
              <w:spacing w:lineRule="auto" w:line="240" w:before="0" w:after="80"/>
              <w:contextualSpacing/>
              <w:jc w:val="left"/>
              <w:rPr/>
            </w:pPr>
            <w:r>
              <w:rPr/>
              <w:t>Čas začátku konání zastupitelstva:</w:t>
            </w:r>
          </w:p>
        </w:tc>
        <w:tc>
          <w:tcPr>
            <w:tcW w:w="4680" w:type="dxa"/>
            <w:tcBorders/>
            <w:vAlign w:val="center"/>
          </w:tcPr>
          <w:p>
            <w:pPr>
              <w:pStyle w:val="Normal"/>
              <w:widowControl w:val="false"/>
              <w:spacing w:lineRule="auto" w:line="240" w:before="0" w:after="80"/>
              <w:contextualSpacing/>
              <w:jc w:val="left"/>
              <w:rPr>
                <w:b/>
                <w:b/>
                <w:bCs/>
              </w:rPr>
            </w:pPr>
            <w:r>
              <w:rPr>
                <w:b/>
                <w:bCs/>
              </w:rPr>
              <w:t xml:space="preserve">16:00</w:t>
            </w:r>
          </w:p>
        </w:tc>
      </w:tr>
      <w:tr>
        <w:trPr/>
        <w:tc>
          <w:tcPr>
            <w:tcW w:w="4679" w:type="dxa"/>
            <w:tcBorders>
              <w:bottom w:val="single" w:sz="4" w:space="0" w:color="333333"/>
            </w:tcBorders>
            <w:vAlign w:val="center"/>
          </w:tcPr>
          <w:p>
            <w:pPr>
              <w:pStyle w:val="Normal"/>
              <w:widowControl w:val="false"/>
              <w:spacing w:lineRule="auto" w:line="240" w:before="0" w:after="80"/>
              <w:contextualSpacing/>
              <w:jc w:val="left"/>
              <w:rPr/>
            </w:pPr>
            <w:r>
              <w:rPr/>
              <w:t>Čas ukončení jednání zastupitelstva:</w:t>
            </w:r>
          </w:p>
        </w:tc>
        <w:tc>
          <w:tcPr>
            <w:tcW w:w="4680" w:type="dxa"/>
            <w:tcBorders>
              <w:bottom w:val="single" w:sz="4" w:space="0" w:color="333333"/>
            </w:tcBorders>
            <w:vAlign w:val="center"/>
          </w:tcPr>
          <w:p>
            <w:pPr>
              <w:pStyle w:val="Normal"/>
              <w:widowControl w:val="false"/>
              <w:spacing w:lineRule="auto" w:line="240" w:before="0" w:after="80"/>
              <w:contextualSpacing/>
              <w:jc w:val="left"/>
              <w:rPr>
                <w:b/>
                <w:b/>
                <w:bCs/>
              </w:rPr>
            </w:pPr>
            <w:r>
              <w:rPr>
                <w:b/>
                <w:bCs/>
              </w:rPr>
              <w:t xml:space="preserve">16:51</w:t>
            </w:r>
          </w:p>
        </w:tc>
      </w:tr>
    </w:tbl>
    <w:p>
      <w:pPr>
        <w:pStyle w:val="Normal"/>
        <w:spacing w:lineRule="auto" w:line="240" w:before="0" w:after="80"/>
        <w:contextualSpacing/>
        <w:jc w:val="left"/>
        <w:rPr>
          <w:sz w:val="20"/>
          <w:szCs w:val="24"/>
        </w:rPr>
      </w:pPr>
      <w:r>
        <w:rPr>
          <w:sz w:val="20"/>
          <w:szCs w:val="24"/>
        </w:rPr>
      </w:r>
    </w:p>
    <w:p>
      <w:pPr>
        <w:pStyle w:val="Normal"/>
        <w:spacing w:lineRule="auto" w:line="276" w:before="0" w:after="80"/>
        <w:contextualSpacing/>
        <w:jc w:val="left"/>
        <w:rPr/>
      </w:pPr>
      <w:r>
        <w:rPr/>
        <w:t xml:space="preserve"/>
      </w:r>
      <w:r>
        <w:rPr>
          <w:b/>
          <w:bCs/>
        </w:rPr>
        <w:t xml:space="preserve">Přítomní zastupitelé:</w:t>
      </w:r>
      <w:r>
        <w:rPr/>
        <w:t xml:space="preserve"> Romana Šidlová, Vojtěch Niedermertl, Jaroslav Štecher, Jiří Kořínek, Libor Hynek, Lucie Durcová, Milan Maryška, Petr Dušek, Petr Raiman </w:t>
      </w:r>
      <w:r>
        <w:rPr>
          <w:b/>
          <w:bCs/>
        </w:rPr>
        <w:t xml:space="preserve"/>
      </w:r>
    </w:p>
    <w:p>
      <w:pPr>
        <w:pStyle w:val="Normal"/>
        <w:spacing w:lineRule="auto" w:line="276" w:before="0" w:after="80"/>
        <w:contextualSpacing/>
        <w:jc w:val="left"/>
        <w:rPr/>
      </w:pPr>
      <w:r>
        <w:rPr/>
      </w:r>
    </w:p>
    <w:p>
      <w:pPr>
        <w:pStyle w:val="BodyText2"/>
        <w:spacing w:lineRule="auto" w:line="240" w:before="0" w:after="0"/>
        <w:jc w:val="both"/>
        <w:rPr>
          <w:iCs/>
        </w:rPr>
      </w:pPr>
      <w:r>
        <w:rPr>
          <w:iCs/>
        </w:rPr>
        <w:t xml:space="preserve">Předsedající </w:t>
      </w:r>
      <w:bookmarkStart w:id="0" w:name="__DdeLink__754_2349815715"/>
      <w:r>
        <w:rPr>
          <w:iCs/>
          <w:shd w:fill="auto" w:val="clear"/>
        </w:rPr>
        <w:t xml:space="preserve">konstatovala</w:t>
      </w:r>
      <w:bookmarkEnd w:id="0"/>
      <w:r>
        <w:rPr>
          <w:iCs/>
        </w:rPr>
        <w:t xml:space="preserve">, že je přítomen nadpoloviční počet členů zastupitelstva, takže zastupitelstvo je usnášení schopné (§ 92 odst. 3 zákona č. 128/2000 Sb. v platném znění).</w:t>
      </w:r>
    </w:p>
    <w:p>
      <w:pPr>
        <w:pStyle w:val="BodyText2"/>
        <w:spacing w:lineRule="auto" w:line="240" w:before="0" w:after="0"/>
        <w:jc w:val="both"/>
        <w:rPr>
          <w:iCs/>
        </w:rPr>
      </w:pPr>
      <w:r>
        <w:rPr>
          <w:iCs/>
        </w:rPr>
        <w:t xml:space="preserve"/>
      </w:r>
      <w:r>
        <w:rPr>
          <w:b/>
          <w:bCs/>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schvaluje navržené zapisovatele a ověřovatele.</w:t>
      </w:r>
      <w:r>
        <w:t xml:space="preserve"/>
        <w:br/>
        <w:t xml:space="preserve"/>
      </w:r>
      <w:r>
        <w:t xml:space="preserve"/>
      </w:r>
      <w:r>
        <w:rPr>
          <w:iCs/>
        </w:rPr>
        <w:t xml:space="preserve"/>
      </w:r>
      <w:r>
        <w:rPr>
          <w:b/>
          <w:bCs/>
          <w:iCs/>
        </w:rPr>
        <w:t xml:space="preserve">Usnesení č. 1/36/2026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navržený program zasedání zastupitelstva.</w:t>
      </w:r>
      <w:r>
        <w:t xml:space="preserve"/>
        <w:br/>
        <w:t xml:space="preserve"/>
      </w:r>
      <w:r>
        <w:t xml:space="preserve"/>
      </w:r>
      <w:r>
        <w:rPr>
          <w:iCs/>
        </w:rPr>
        <w:t xml:space="preserve"/>
      </w:r>
      <w:r>
        <w:rPr>
          <w:b/>
          <w:bCs/>
          <w:iCs/>
        </w:rPr>
        <w:t xml:space="preserve">Usnesení č. 2/36/2026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3</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Zprávu č. 34o plnění usnesení,  a komise SPOZ/2026</w:t>
      </w:r>
      <w:r>
        <w:t xml:space="preserve"/>
        <w:br/>
        <w:t xml:space="preserve"/>
      </w:r>
      <w:r>
        <w:t xml:space="preserve"/>
      </w:r>
      <w:r>
        <w:rPr>
          <w:iCs/>
        </w:rPr>
        <w:t xml:space="preserve"/>
      </w:r>
      <w:r>
        <w:rPr>
          <w:b/>
          <w:bCs/>
          <w:iCs/>
        </w:rPr>
        <w:t xml:space="preserve">Usnesení č. 3/36/2026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4</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Závěrečný účet obce Bulovka za rok 2025 bez výhrad.</w:t>
      </w:r>
      <w:r>
        <w:t xml:space="preserve"/>
        <w:br/>
        <w:t xml:space="preserve"/>
      </w:r>
      <w:r>
        <w:t xml:space="preserve"/>
      </w:r>
      <w:r>
        <w:rPr>
          <w:iCs/>
        </w:rPr>
        <w:t xml:space="preserve"/>
      </w:r>
      <w:r>
        <w:rPr>
          <w:b/>
          <w:bCs/>
          <w:iCs/>
        </w:rPr>
        <w:t xml:space="preserve">Usnesení č. 4/36/2026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5</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Zprávu o přezkumu hospodaření za rok 2025 bez výhrad a bere na vědomí Žádost o přezkum hospodaření obce Bulovka za rok 2026 zaslanou na KULK – odd. vnější kontroly.</w:t>
      </w:r>
      <w:r>
        <w:t xml:space="preserve"/>
        <w:br/>
        <w:t xml:space="preserve"/>
      </w:r>
      <w:r>
        <w:t xml:space="preserve"/>
      </w:r>
      <w:r>
        <w:rPr>
          <w:iCs/>
        </w:rPr>
        <w:t xml:space="preserve"/>
      </w:r>
      <w:r>
        <w:rPr>
          <w:b/>
          <w:bCs/>
          <w:iCs/>
        </w:rPr>
        <w:t xml:space="preserve">Usnesení č. 5/36/2026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6</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hospodářský výsledek obce Bulovka za rok 2025 z hlavní činnosti ve výši ztráty </w:t>
      </w:r>
      <w:r>
        <w:rPr>
          <w:b/>
        </w:rPr>
        <w:t xml:space="preserve">-769 993,76 Kč</w:t>
      </w:r>
      <w:r>
        <w:t xml:space="preserve"> a z hospodářské činnosti ve výši zisku </w:t>
      </w:r>
      <w:r>
        <w:rPr>
          <w:b/>
        </w:rPr>
        <w:t xml:space="preserve">534 980,23 Kč</w:t>
      </w:r>
      <w:r>
        <w:t xml:space="preserve"> a rozhodlo o jejich převodu na účet 432 – Výsledek hospodaření předcházejících účetních období.</w:t>
      </w:r>
      <w:r>
        <w:t xml:space="preserve"/>
        <w:br/>
        <w:t xml:space="preserve"/>
      </w:r>
      <w:r>
        <w:t xml:space="preserve"/>
      </w:r>
      <w:r>
        <w:rPr>
          <w:iCs/>
        </w:rPr>
        <w:t xml:space="preserve"/>
      </w:r>
      <w:r>
        <w:rPr>
          <w:b/>
          <w:bCs/>
          <w:iCs/>
        </w:rPr>
        <w:t xml:space="preserve">Usnesení č. 6/36/2026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(8),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7</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účetní závěrku obce Bulovka za rok 2025 sestavenou k 31. 12. 2025, bere na vědomí protokol o schválení účetní závěrky a pověřuje starostku obce jeho odesláním na Krajský úřad Libereckého kraje v zákonné lhůtě.</w:t>
      </w:r>
      <w:r>
        <w:t xml:space="preserve"/>
        <w:br/>
        <w:t xml:space="preserve"/>
      </w:r>
      <w:r>
        <w:t xml:space="preserve"/>
      </w:r>
      <w:r>
        <w:rPr>
          <w:iCs/>
        </w:rPr>
        <w:t xml:space="preserve"/>
      </w:r>
      <w:r>
        <w:rPr>
          <w:b/>
          <w:bCs/>
          <w:iCs/>
        </w:rPr>
        <w:t xml:space="preserve">Usnesení č. 7/36/2026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8</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Zprávu o hospodaření ZŠ a MŠ Bulovka za rok 2025, hospodářský výsledek Základní školy a Mateřské školy Bulovka za rok 2025 z hlavní činnosti ve výši 246 424,84Kč a z vedlejší činnosti ve výši 167 944,96Kč a souhlasí s vypořádáním hospodářského výsledku dle návrhu školy, tj. převod do rezervního fondu.</w:t>
      </w:r>
      <w:r>
        <w:t xml:space="preserve"/>
        <w:br/>
        <w:t xml:space="preserve"/>
      </w:r>
      <w:r>
        <w:t xml:space="preserve"/>
      </w:r>
      <w:r>
        <w:rPr>
          <w:iCs/>
        </w:rPr>
        <w:t xml:space="preserve"/>
      </w:r>
      <w:r>
        <w:rPr>
          <w:b/>
          <w:bCs/>
          <w:iCs/>
        </w:rPr>
        <w:t xml:space="preserve">Usnesení č. 8/36/2026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9</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účetní závěrku ZŠ a MŠ Bulovka za rok 2025 a bere na vědomí Protokol o schválení účetní závěrky ZŠ a MŠ Bulovka za rok 2025 a pověřuje starostku obce jeho odesláním na Krajský úřad Libereckého kraje v zákonné lhůtě.</w:t>
      </w:r>
      <w:r>
        <w:t xml:space="preserve"/>
        <w:br/>
        <w:t xml:space="preserve"/>
      </w:r>
      <w:r>
        <w:t xml:space="preserve"/>
      </w:r>
      <w:r>
        <w:rPr>
          <w:iCs/>
        </w:rPr>
        <w:t xml:space="preserve"/>
      </w:r>
      <w:r>
        <w:rPr>
          <w:b/>
          <w:bCs/>
          <w:iCs/>
        </w:rPr>
        <w:t xml:space="preserve">Usnesení č. 9/36/2026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10</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Obecně závaznou vyhlášku obce Bulovka č. 1-2026 o stanovení obecního systému odpadového hospodářství.</w:t>
      </w:r>
      <w:r>
        <w:t xml:space="preserve"/>
        <w:br/>
        <w:t xml:space="preserve"/>
      </w:r>
      <w:r>
        <w:t xml:space="preserve"/>
      </w:r>
      <w:r>
        <w:rPr>
          <w:iCs/>
        </w:rPr>
        <w:t xml:space="preserve"/>
      </w:r>
      <w:r>
        <w:rPr>
          <w:b/>
          <w:bCs/>
          <w:iCs/>
        </w:rPr>
        <w:t xml:space="preserve">Usnesení č. 10/36/2026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11</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cenovou nabídku společnosti </w:t>
      </w:r>
      <w:r>
        <w:rPr>
          <w:b/>
        </w:rPr>
        <w:t xml:space="preserve">Sinpps s.r.o.</w:t>
      </w:r>
      <w:r>
        <w:t xml:space="preserve"> na vícepráce v rámci akce </w:t>
      </w:r>
      <w:r>
        <w:rPr>
          <w:b/>
        </w:rPr>
        <w:t xml:space="preserve">„I/13 Arnoltice, průtah – DSP+IČ+VD-ZDS“</w:t>
      </w:r>
      <w:r>
        <w:t xml:space="preserve"> ve výši </w:t>
      </w:r>
      <w:r>
        <w:rPr>
          <w:b/>
        </w:rPr>
        <w:t xml:space="preserve">320 000 Kč bez DPH</w:t>
      </w:r>
      <w:r>
        <w:t xml:space="preserve">, tj. </w:t>
      </w:r>
      <w:r>
        <w:rPr>
          <w:b/>
        </w:rPr>
        <w:t xml:space="preserve">387 200 Kč včetně DPH</w:t>
      </w:r>
      <w:r>
        <w:t xml:space="preserve">, a pověřuje starostku obce podpisem dodatku smlouvy dle předložené cenové nabídky.</w:t>
      </w:r>
      <w:r>
        <w:t xml:space="preserve"/>
        <w:br/>
        <w:t xml:space="preserve"/>
      </w:r>
      <w:r>
        <w:t xml:space="preserve"/>
      </w:r>
      <w:r>
        <w:rPr>
          <w:iCs/>
        </w:rPr>
        <w:t xml:space="preserve"/>
      </w:r>
      <w:r>
        <w:rPr>
          <w:b/>
          <w:bCs/>
          <w:iCs/>
        </w:rPr>
        <w:t xml:space="preserve">Usnesení č. 11/36/2026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(7), Proti (1), Zdržel se (1)</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12</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w:t>
      </w:r>
      <w:r>
        <w:rPr>
          <w:b/>
        </w:rPr>
        <w:t xml:space="preserve">schvaluje  Plán společných zařízení v rámci Komplexních pozemkových úprav v katastrálním území Arnoltice u Bulovky, zpracovaným společností AGROPLAN, spol. s r.o., v květnu 2026.</w:t>
      </w:r>
      <w:r>
        <w:t xml:space="preserve"/>
        <w:br/>
        <w:t xml:space="preserve"/>
      </w:r>
      <w:r>
        <w:t xml:space="preserve"/>
      </w:r>
      <w:r>
        <w:rPr>
          <w:iCs/>
        </w:rPr>
        <w:t xml:space="preserve"/>
      </w:r>
      <w:r>
        <w:rPr>
          <w:b/>
          <w:bCs/>
          <w:iCs/>
        </w:rPr>
        <w:t xml:space="preserve">Usnesení č. 12/36/2026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13</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bere na vědomí představený záměr společnosti Meridian Nová Energie s.r.o. týkající se možnosti výstavby větrných elektráren na území obce Bulovka a související návrh spolupráce. Zastupitelstvo obce konstatuje, že o případném dalším postupu bude jednáno pouze v případě odstoupení od návrhu smluv se společností ČEZ Obnovitelné zdroje, s.r.o.</w:t>
      </w:r>
      <w:r>
        <w:t xml:space="preserve"/>
        <w:br/>
        <w:t xml:space="preserve"/>
      </w:r>
      <w:r>
        <w:t xml:space="preserve"/>
      </w:r>
      <w:r>
        <w:rPr>
          <w:iCs/>
        </w:rPr>
        <w:t xml:space="preserve"/>
      </w:r>
      <w:r>
        <w:rPr>
          <w:b/>
          <w:bCs/>
          <w:iCs/>
        </w:rPr>
        <w:t xml:space="preserve">Usnesení č. 13/36/2026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(6), Proti (2), Zdržel se (1)</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14</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uzavření pachtovní smlouvy na část pozemku p. č. 754/3 v katastrálním území Bulovka o výměře cca 68 m² za cenu 1 200 Kč/rok, na dobu neurčitou s výpovědní lhůtou 3 měsíce, dle zveřejněného záměru obce, a pověřuje starostku obce podpisem pachtovní smlouvy.</w:t>
      </w:r>
      <w:r>
        <w:t xml:space="preserve"/>
        <w:br/>
        <w:t xml:space="preserve"/>
      </w:r>
      <w:r>
        <w:t xml:space="preserve"/>
      </w:r>
      <w:r>
        <w:rPr>
          <w:iCs/>
        </w:rPr>
        <w:t xml:space="preserve"/>
      </w:r>
      <w:r>
        <w:rPr>
          <w:b/>
          <w:bCs/>
          <w:iCs/>
        </w:rPr>
        <w:t xml:space="preserve">Usnesení č. 14/36/2026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(6), Proti (3),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15</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zveřejnění záměru pachtu části pozemku p. č. 374 v katastrálním území Bulovka za účelem celoročního umístění mobilního domu a užívání přilehlé části pozemku.</w:t>
      </w:r>
      <w:r>
        <w:t xml:space="preserve"/>
        <w:br/>
        <w:t xml:space="preserve"/>
      </w:r>
      <w:r>
        <w:t xml:space="preserve"/>
      </w:r>
      <w:r>
        <w:rPr>
          <w:iCs/>
        </w:rPr>
        <w:t xml:space="preserve"/>
      </w:r>
      <w:r>
        <w:rPr>
          <w:b/>
          <w:bCs/>
          <w:iCs/>
        </w:rPr>
        <w:t xml:space="preserve">Usnesení č. 15/36/2026 </w:t>
      </w:r>
      <w:r>
        <w:rPr>
          <w:b/>
          <w:bCs/>
          <w:iCs/>
          <w:u w:val="single"/>
        </w:rPr>
        <w:t>ne</w:t>
      </w:r>
      <w:r>
        <w:rPr>
          <w:b/>
          <w:bCs/>
          <w:iCs/>
        </w:rPr>
        <w:t>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(0), Proti (9),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16</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 poskytnutí finančního daru ve výši </w:t>
      </w:r>
      <w:r>
        <w:rPr>
          <w:b/>
        </w:rPr>
        <w:t xml:space="preserve">25 000 Kč</w:t>
      </w:r>
      <w:r>
        <w:t xml:space="preserve"> místním včelařům registrovaným v Českém svazu včelařů dle předložené žádosti, a to formou darovací smlouvy mezi obcí Bulovka a Janem Ježkem, Bulovka 3, na nákup léčiv proti nákazám a parazitům a další potřeby související s ošetřením včelstev, a pověřuje starostku obce podpisem darovací smlouvy.</w:t>
      </w:r>
      <w:r>
        <w:t xml:space="preserve"/>
        <w:br/>
        <w:t xml:space="preserve"/>
      </w:r>
      <w:r>
        <w:t xml:space="preserve"/>
      </w:r>
      <w:r>
        <w:rPr>
          <w:iCs/>
        </w:rPr>
        <w:t xml:space="preserve"/>
      </w:r>
      <w:r>
        <w:rPr>
          <w:b/>
          <w:bCs/>
          <w:iCs/>
        </w:rPr>
        <w:t xml:space="preserve">Usnesení č. 16/36/2026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17</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w:t>
      </w:r>
      <w:r>
        <w:rPr>
          <w:b/>
        </w:rPr>
        <w:t xml:space="preserve">bere na vědomí</w:t>
      </w:r>
      <w:r>
        <w:t xml:space="preserve"> hodnotící protokol a výsledek veřejné zakázky malého rozsahu na akci „Dodávka a montáž letních učeben pro areál MŠ Bulovka“ a </w:t>
      </w:r>
      <w:r>
        <w:rPr>
          <w:b/>
        </w:rPr>
        <w:t xml:space="preserve">schvaluje</w:t>
      </w:r>
      <w:r>
        <w:t xml:space="preserve"> uzavření smlouvy o dílo se zhotovitelem </w:t>
      </w:r>
      <w:r>
        <w:rPr>
          <w:b/>
        </w:rPr>
        <w:t xml:space="preserve">Jan Kniga, IČO 05225744</w:t>
      </w:r>
      <w:r>
        <w:t xml:space="preserve">, za cenu </w:t>
      </w:r>
      <w:r>
        <w:rPr>
          <w:b/>
        </w:rPr>
        <w:t xml:space="preserve">400 000 Kč včetně DPH </w:t>
      </w:r>
      <w:r>
        <w:t xml:space="preserve">a </w:t>
      </w:r>
      <w:r>
        <w:rPr>
          <w:b/>
        </w:rPr>
        <w:t xml:space="preserve">ukládá starostce obce</w:t>
      </w:r>
      <w:r>
        <w:t xml:space="preserve"> zajistit podpis smlouvy o dílo s vybraným dodavatelem.</w:t>
      </w:r>
      <w:r>
        <w:t xml:space="preserve"/>
        <w:br/>
        <w:t xml:space="preserve"/>
      </w:r>
      <w:r>
        <w:t xml:space="preserve"/>
      </w:r>
      <w:r>
        <w:rPr>
          <w:iCs/>
        </w:rPr>
        <w:t xml:space="preserve"/>
      </w:r>
      <w:r>
        <w:rPr>
          <w:b/>
          <w:bCs/>
          <w:iCs/>
        </w:rPr>
        <w:t xml:space="preserve">Usnesení č. 17/36/2026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18</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po projednání schvaluje odepsání nevymahatelných pohledávek Základní školy a mateřské školy, Bulovka, okres Liberec, příspěvkové organizace, v celkové výši </w:t>
      </w:r>
      <w:r>
        <w:rPr>
          <w:b/>
        </w:rPr>
        <w:t xml:space="preserve">9 328 Kč</w:t>
      </w:r>
      <w:r>
        <w:t xml:space="preserve">, z toho: pohledávky za dlužníky vzniklé v letech 2013–2017 ve výši </w:t>
      </w:r>
      <w:r>
        <w:rPr>
          <w:b/>
        </w:rPr>
        <w:t xml:space="preserve">8 339 Kč</w:t>
      </w:r>
      <w:r>
        <w:t xml:space="preserve">, zůstatek pokladny školní družiny ve výši </w:t>
      </w:r>
      <w:r>
        <w:rPr>
          <w:b/>
        </w:rPr>
        <w:t xml:space="preserve">989 Kč</w:t>
      </w:r>
      <w:r>
        <w:t xml:space="preserve">, a jejich vyřazení z účetní evidence organizace jako nevymahatelných.</w:t>
      </w:r>
      <w:r>
        <w:t xml:space="preserve"/>
        <w:br/>
        <w:t xml:space="preserve"/>
      </w:r>
      <w:r>
        <w:t xml:space="preserve"/>
      </w:r>
      <w:r>
        <w:rPr>
          <w:iCs/>
        </w:rPr>
        <w:t xml:space="preserve"/>
      </w:r>
      <w:r>
        <w:rPr>
          <w:b/>
          <w:bCs/>
          <w:iCs/>
        </w:rPr>
        <w:t xml:space="preserve">Usnesení č. 18/36/2026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19</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schvaluje</w:t>
      </w:r>
      <w:r>
        <w:t xml:space="preserve"/>
        <w:br/>
        <w:t xml:space="preserve"/>
      </w:r>
      <w:r>
        <w:t xml:space="preserve">a) podání žádosti o dotaci z programu Národní sportovní agentury na realizaci projektu </w:t>
      </w:r>
      <w:r>
        <w:rPr>
          <w:b/>
        </w:rPr>
        <w:t xml:space="preserve">„Rekonstrukce hasičské zbrojnice a sportovního areálu“</w:t>
      </w:r>
      <w:r>
        <w:t xml:space="preserve">,</w:t>
      </w:r>
      <w:r>
        <w:t xml:space="preserve"/>
        <w:br/>
        <w:t xml:space="preserve"/>
      </w:r>
      <w:r>
        <w:t xml:space="preserve">b) realizaci projektu v případě přiznání dotace,</w:t>
      </w:r>
      <w:r>
        <w:t xml:space="preserve"/>
        <w:br/>
        <w:t xml:space="preserve"/>
      </w:r>
      <w:r>
        <w:t xml:space="preserve">c) zajištění vlastního podílu financování projektu a úhradu případných nezpůsobilých výdajů z rozpočtu obce Bulovka,</w:t>
      </w:r>
      <w:r>
        <w:t xml:space="preserve"/>
        <w:br/>
        <w:t xml:space="preserve"/>
      </w:r>
      <w:r>
        <w:t xml:space="preserve">d) zařazení finančních prostředků potřebných na realizaci projektu do rozpočtu obce na příslušné rozpočtové období</w:t>
      </w:r>
      <w:r>
        <w:t xml:space="preserve"/>
        <w:br/>
        <w:t xml:space="preserve"/>
      </w:r>
      <w:r>
        <w:t xml:space="preserve">a pověřuje starostku obce k provedení všech úkonů souvisejících s podáním žádosti o dotaci a následnou realizací projektu.</w:t>
      </w:r>
      <w:r>
        <w:t xml:space="preserve"/>
        <w:br/>
        <w:t xml:space="preserve"/>
      </w:r>
      <w:r>
        <w:t xml:space="preserve"/>
      </w:r>
      <w:r>
        <w:rPr>
          <w:iCs/>
        </w:rPr>
        <w:t xml:space="preserve"/>
      </w:r>
      <w:r>
        <w:rPr>
          <w:b/>
          <w:bCs/>
          <w:iCs/>
        </w:rPr>
        <w:t xml:space="preserve">Usnesení č. 19/36/2026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20</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w:t>
      </w:r>
      <w:r>
        <w:rPr>
          <w:b/>
        </w:rPr>
        <w:t xml:space="preserve">bere na vědomí </w:t>
      </w:r>
      <w:r>
        <w:t xml:space="preserve">pozvánku na valnou hromadu společnosti Frýdlantská vodárenská společnost,a.s., IČO 254 96 565, se sídlem Zahradní 768, 464 01 Frýdlant, která se bude konat dne 25. 6. 2026, vyhotovenou představenstvem společnosti Frýdlantská vodárenská společnost,a.s. dne 18. 5. 2026; výroční zprávu společnosti Frýdlantská vodárenská společnost,a.s., IČO 254 96 565, se sídlem Zahradní 768, 464 01 Frýdlant, sestavenou za účetní období roku 2025; návrh změn stanov společnosti Frýdlantská vodárenská společnost,a.s., IČO 254 96 565, se sídlem Zahradní 768, 464 01 Frýdlant, který je součástí pozvánky na valnou hromadu, která se bude konat dne 25. 6. 2026; a </w:t>
      </w:r>
      <w:r>
        <w:rPr>
          <w:b/>
        </w:rPr>
        <w:t xml:space="preserve">deleguje Romanu Šidlovou</w:t>
      </w:r>
      <w:r>
        <w:t xml:space="preserve">, starostku obce Bulovka, jako zástupce na valnou hromadu společnosti Frýdlantská vodárenská společnost,a.s., IČO 254 96 565, se sídlem Zahradní 768, 464 01 Frýdlant, která se bude konat dne 25. 6. 2026; a </w:t>
      </w:r>
      <w:r>
        <w:rPr>
          <w:b/>
        </w:rPr>
        <w:t xml:space="preserve">ukládá Romaně Šidlové</w:t>
      </w:r>
      <w:r>
        <w:t xml:space="preserve">, starostce obce Bulovka, aby jako zástupce na valné hromadě společnosti Frýdlantská vodárenská společnost,a.s., IČO 254 96 565, se sídlem Zahradní 768, 464 01 Frýdlant, která se bude konat dne 25. 6. 2026, hlasoval pro navržená usnesení valné hromady podle pozvánky vyhotovené 18. 5. 2026.</w:t>
      </w:r>
      <w:r>
        <w:t xml:space="preserve"/>
        <w:br/>
        <w:t xml:space="preserve"/>
      </w:r>
      <w:r>
        <w:t xml:space="preserve"/>
      </w:r>
      <w:r>
        <w:rPr>
          <w:iCs/>
        </w:rPr>
        <w:t xml:space="preserve"/>
      </w:r>
      <w:r>
        <w:rPr>
          <w:b/>
          <w:bCs/>
          <w:iCs/>
        </w:rPr>
        <w:t xml:space="preserve">Usnesení č. 20/36/2026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21</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w:t>
      </w:r>
      <w:r>
        <w:rPr>
          <w:b/>
        </w:rPr>
        <w:t xml:space="preserve">schvaluje </w:t>
      </w:r>
      <w:r>
        <w:t xml:space="preserve">uzavření smlouvy mezi akcionáři společnosti Frýdlantská vodárenská společnost,a.s., IČO 254 96 565, se sídlem Zahradní 768, 464 01 Frýdlant, jejímiž smluvními stranami jsou Obec Bílý Potok, IČO 008 31 417, se sídlem č.p. 337, 46362 Bílý Potok, Obec Bulovka, IČO 002 62 692, se sídlem č.p. 101, 46401 Bulovka, Obec Černousy, IČO 006 72 084, se sídlem č.p. 72, 46373 Černousy, Obec Dětřichov, IČO 008 31 468, se sídlem č.p. 2, 46401 Dětřichov, Obec Dolní Řasnice, IČO 002 62 757, se sídlem č.p. 153, 46401 Dolní Řasnice, Město Frýdlant, IČO 002 62 781, se sídlem nám. T. G. Masaryka 37, 46401 Frýdlant, Obec Habartice, IČO 002 62 790, se sídlem č.p. 191, 46373 Habartice, Město Hejnice, IČO 002 62 803, se sídlem Nádražní 521, 46362 Hejnice, Obec Heřmanice, IČO 006 72 068, se sídlem č.p. 2, 46401 Heřmanice, Obec Horní Řasnice, IČO 006 72 041, se sídlem č.p. 230, 46401 Horní Řasnice, Obec Jindřichovice pod Smrkem, IČO 006 72 025, se sídlem č.p. 245, 46365 Jindřichovice pod Smrkem, Obec Krásný Les, IČO 006 72 009, se sídlem č.p. 257, 46401 Krásný Les, Obec Kunratice, IČO 467 44 967, se sídlem č.p. 158, 46401 Kunratice, Obec Lázně Libverda, IČO 006 71 983, se sídlem č.p. 16, 46362 Lázně Libverda, Město Nové Město pod Smrkem, IČO 002 63 036, se sídlem Palackého 280, 46365 Nové Město pod Smrkem, Obec Pertoltice, IČO 006 71 959, se sídlem Dolní Pertoltice 59, 46373 Pertoltice, Město Raspenava, IČO 002 63 141, se sídlem Fučíkova 421, 46401 Raspenava, a Obec Višňová, IČO 002 63 265, se sídlem č.p. 184, 46401 Višňová, jejímž předmětem je závazek akcionářů podílet se na budoucím zvyšování základního kapitálu společnosti Frýdlantská vodárenská společnost,a.s. peněžitými vklady určenými na financování čtyř sdružených opatření na vodovodech pro veřejnou potřebu proti možným negativním účinkům rozšíření těžby v polském hnědouhelném dole Turów; a </w:t>
      </w:r>
      <w:r>
        <w:rPr>
          <w:b/>
        </w:rPr>
        <w:t xml:space="preserve">ukládá Romaně Šidlové</w:t>
      </w:r>
      <w:r>
        <w:t xml:space="preserve">, starostce obce Bulovka, uzavřít v zastoupení obce Bulovka smlouvu mezi akcionáři schválenou tímto usnesením.</w:t>
      </w:r>
      <w:r>
        <w:t xml:space="preserve"/>
        <w:br/>
        <w:t xml:space="preserve"/>
      </w:r>
      <w:r>
        <w:t xml:space="preserve"/>
      </w:r>
      <w:r>
        <w:rPr>
          <w:iCs/>
        </w:rPr>
        <w:t xml:space="preserve"/>
      </w:r>
      <w:r>
        <w:rPr>
          <w:b/>
          <w:bCs/>
          <w:iCs/>
        </w:rPr>
        <w:t xml:space="preserve">Usnesení č. 21/36/2026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22</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schvaluje realizaci přeložky vodovodního řadu v úseku hasičárna – fotbalové hřiště dle varianty B v předpokládané hodnotě 347 739 Kč bez DPH. Realizaci provede společnost FVS, a.s., jako provozovatel vodovodního řadu, v rámci odstranění následků havárie. Zastupitelstvo pověřuje starostku zajištěním součinnosti a administrativních úkonů souvisejících s realizací akce.</w:t>
      </w:r>
      <w:r>
        <w:t xml:space="preserve"/>
        <w:br/>
        <w:t xml:space="preserve"/>
      </w:r>
      <w:r>
        <w:t xml:space="preserve"/>
      </w:r>
      <w:r>
        <w:rPr>
          <w:iCs/>
        </w:rPr>
        <w:t xml:space="preserve"/>
      </w:r>
      <w:r>
        <w:rPr>
          <w:b/>
          <w:bCs/>
          <w:iCs/>
        </w:rPr>
        <w:t xml:space="preserve">Usnesení č. 22/36/2026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(8), Proti (0), Zdržel se (1)</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23</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projednalo žádost organizace </w:t>
      </w:r>
      <w:r>
        <w:rPr>
          <w:b/>
        </w:rPr>
        <w:t xml:space="preserve">Diakonie ČCE – středisko v Jablonci nad Nisou</w:t>
      </w:r>
      <w:r>
        <w:t xml:space="preserve">, IČO 73633992, o finanční podporu na činnost Nízkoprahového zařízení pro děti a mládež Cajk a Sociálně aktivizační služby pro rodiny s dětmi pro rok 2026. </w:t>
      </w:r>
      <w:r>
        <w:rPr>
          <w:b/>
        </w:rPr>
        <w:t xml:space="preserve">Zastupitelstvo obce Bulovka schvaluje</w:t>
      </w:r>
      <w:r>
        <w:t xml:space="preserve"> poskytnutí finančního daru ve výši </w:t>
      </w:r>
      <w:r>
        <w:rPr>
          <w:b/>
        </w:rPr>
        <w:t xml:space="preserve">12 000 Kč</w:t>
      </w:r>
      <w:r>
        <w:t xml:space="preserve"> organizaci </w:t>
      </w:r>
      <w:r>
        <w:rPr>
          <w:b/>
        </w:rPr>
        <w:t xml:space="preserve">Diakonie ČCE – středisko v Jablonci nad Nisou</w:t>
      </w:r>
      <w:r>
        <w:t xml:space="preserve">, se sídlem 5. května 193/2, 466 01 Jablonec nad Nisou, IČO 73633992, a schvaluje uzavření darovací smlouvy mezi obcí Bulovka a uvedenou organizací. Současně pověřuje starostku obce podpisem darovací smlouvy.</w:t>
      </w:r>
      <w:r>
        <w:t xml:space="preserve"/>
        <w:br/>
        <w:t xml:space="preserve"/>
      </w:r>
      <w:r>
        <w:t xml:space="preserve"/>
      </w:r>
      <w:r>
        <w:rPr>
          <w:iCs/>
        </w:rPr>
        <w:t xml:space="preserve"/>
      </w:r>
      <w:r>
        <w:rPr>
          <w:b/>
          <w:bCs/>
          <w:iCs/>
        </w:rPr>
        <w:t xml:space="preserve">Usnesení č. 23/36/2026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r>
        <w:rPr>
          <w:i w:val="false"/>
          <w:iCs w:val="false"/>
          <w:u w:val="none"/>
        </w:rPr>
        <w:t xml:space="preserve"/>
      </w:r>
    </w:p>
    <w:p>
      <w:pPr>
        <w:pStyle w:val="BodyText2"/>
        <w:spacing w:lineRule="auto" w:line="240" w:before="0" w:after="0"/>
        <w:rPr>
          <w:iCs/>
        </w:rPr>
      </w:pPr>
      <w:r>
        <w:rPr>
          <w:b/>
          <w:bCs/>
        </w:rPr>
        <w:t>Usnesení č.</w:t>
      </w:r>
      <w:r>
        <w:rPr/>
        <w:t xml:space="preserve"> </w:t>
      </w:r>
      <w:r>
        <w:rPr>
          <w:b/>
          <w:bCs/>
        </w:rPr>
        <w:t xml:space="preserve">24</w:t>
      </w:r>
      <w:r>
        <w:rPr>
          <w:b/>
          <w:bCs/>
          <w:iCs/>
        </w:rPr>
        <w:t xml:space="preserve">/36/2026</w:t>
      </w:r>
    </w:p>
    <w:p>
      <w:pPr>
        <w:pStyle w:val="BodyText2"/>
        <w:keepNext w:val="true"/>
        <w:spacing w:lineRule="auto" w:line="240" w:before="0" w:after="0"/>
        <w:jc w:val="left"/>
        <w:rPr/>
      </w:pPr>
      <w:r>
        <w:rPr>
          <w:b/>
          <w:bCs/>
        </w:rPr>
        <w:t xml:space="preserve">Návrh:</w:t>
      </w:r>
      <w:r>
        <w:rPr/>
        <w:t xml:space="preserve"> </w:t>
      </w:r>
      <w:r>
        <w:t xml:space="preserve">Zastupitelstvo obce Bulovka bere na vědomí návrh změn jízdních řádů veřejné linkové dopravy pro oblast Frýdlantska s platností od 13. 12. 2026 předložený společností KORID LK. Zastupitelstvo obce Bulovka trvá na zachování stávajícího rozsahu dopravní obslužnosti místní části Dolní Oldřiš a požaduje zachování všech stávajících spojů linky 661 Frýdlant – Bulovka – Dolní Oldřiš, včetně podvečerního spoje z Frýdlantu do Dolní Oldřiše. Zastupitelstvo obce pověřuje starostku obce zasláním tohoto stanoviska společnosti KORID LK.</w:t>
      </w:r>
      <w:r>
        <w:t xml:space="preserve"/>
        <w:br/>
        <w:t xml:space="preserve"/>
      </w:r>
      <w:r>
        <w:t xml:space="preserve"/>
      </w:r>
      <w:r>
        <w:rPr>
          <w:iCs/>
        </w:rPr>
        <w:t xml:space="preserve"/>
      </w:r>
      <w:r>
        <w:rPr>
          <w:b/>
          <w:bCs/>
          <w:iCs/>
        </w:rPr>
        <w:t xml:space="preserve">Usnesení č. 24/36/2026 bylo schváleno</w:t>
      </w:r>
      <w:r>
        <w:rPr>
          <w:b w:val="false"/>
          <w:bCs w:val="false"/>
          <w:iCs/>
        </w:rPr>
        <w:t xml:space="preserve"/>
      </w:r>
    </w:p>
    <w:p>
      <w:pPr>
        <w:pStyle w:val="BodyText2"/>
        <w:keepNext w:val="true"/>
        <w:spacing w:lineRule="auto" w:line="240" w:before="0" w:after="0"/>
        <w:jc w:val="left"/>
        <w:rPr/>
      </w:pPr>
      <w:r>
        <w:rPr>
          <w:b w:val="false"/>
          <w:bCs w:val="false"/>
          <w:iCs/>
        </w:rPr>
        <w:t xml:space="preserve">Pro (9), Proti (0), Zdržel se (0)</w:t>
      </w:r>
    </w:p>
    <w:p>
      <w:pPr>
        <w:pStyle w:val="BodyText2"/>
        <w:spacing w:lineRule="auto" w:line="240" w:before="0" w:after="0"/>
        <w:jc w:val="both"/>
        <w:rPr>
          <w:iCs/>
        </w:rPr>
      </w:pPr>
      <w:r>
        <w:rPr>
          <w:b w:val="false"/>
          <w:bCs w:val="false"/>
          <w:iCs/>
        </w:rPr>
        <w:t xml:space="preserve"/>
      </w:r>
      <w:r>
        <w:rPr>
          <w:iCs/>
        </w:rPr>
        <w:t xml:space="preserve"/>
      </w:r>
    </w:p>
    <w:p>
      <w:pPr>
        <w:pStyle w:val="Normal"/>
        <w:jc w:val="both"/>
        <w:rPr>
          <w:highlight w:val="none"/>
          <w:shd w:fill="auto" w:val="clear"/>
        </w:rPr>
      </w:pPr>
      <w:r>
        <w:rPr>
          <w:b/>
          <w:iCs/>
          <w:u w:val="single"/>
          <w:shd w:fill="auto" w:val="clear"/>
        </w:rPr>
        <w:t xml:space="preserve"/>
      </w:r>
      <w:r>
        <w:rPr>
          <w:iCs/>
          <w:sz w:val="22"/>
          <w:shd w:fill="auto" w:val="clear"/>
        </w:rPr>
        <w:t xml:space="preserve"> </w:t>
      </w:r>
      <w:r>
        <w:rPr>
          <w:iCs/>
          <w:sz w:val="24"/>
          <w:szCs w:val="24"/>
          <w:shd w:fill="auto" w:val="clear"/>
        </w:rPr>
        <w:t xml:space="preserve"/>
      </w:r>
    </w:p>
    <w:p>
      <w:pPr>
        <w:pStyle w:val="BodyText2"/>
        <w:keepNext w:val="true"/>
        <w:spacing w:lineRule="auto" w:line="276" w:before="0" w:after="0"/>
        <w:jc w:val="both"/>
        <w:rPr/>
      </w:pPr>
      <w:r>
        <w:rPr>
          <w:iCs/>
          <w:sz w:val="32"/>
          <w:szCs w:val="24"/>
          <w:shd w:fill="auto" w:val="clear"/>
        </w:rPr>
        <w:t>Přílohy zápisu:</w:t>
      </w:r>
      <w:r>
        <w:rPr>
          <w:iCs/>
          <w:sz w:val="24"/>
          <w:szCs w:val="24"/>
          <w:shd w:fill="auto" w:val="clear"/>
        </w:rPr>
        <w:t xml:space="preserve"/>
      </w:r>
    </w:p>
    <w:p>
      <w:pPr>
        <w:pStyle w:val="BodyText2"/>
        <w:numPr>
          <w:ilvl w:val="0"/>
          <w:numId w:val="1"/>
        </w:numPr>
        <w:spacing w:lineRule="auto" w:line="240" w:before="0" w:after="0"/>
        <w:contextualSpacing/>
        <w:jc w:val="both"/>
        <w:rPr/>
      </w:pPr>
      <w:r>
        <w:rPr>
          <w:iCs/>
          <w:sz w:val="24"/>
          <w:szCs w:val="24"/>
          <w:shd w:fill="auto" w:val="clear"/>
        </w:rPr>
        <w:t xml:space="preserve">návrh závěrečného účtu za rok 2025</w:t>
      </w:r>
    </w:p>
    <w:p>
      <w:pPr>
        <w:pStyle w:val="BodyText2"/>
        <w:numPr>
          <w:ilvl w:val="0"/>
          <w:numId w:val="1"/>
        </w:numPr>
        <w:spacing w:lineRule="auto" w:line="240" w:before="0" w:after="0"/>
        <w:contextualSpacing/>
        <w:jc w:val="both"/>
        <w:rPr/>
      </w:pPr>
      <w:r>
        <w:rPr>
          <w:iCs/>
          <w:sz w:val="24"/>
          <w:szCs w:val="24"/>
          <w:shd w:fill="auto" w:val="clear"/>
        </w:rPr>
        <w:t xml:space="preserve">16_LK25_Zprava_Bulovka (1)</w:t>
      </w:r>
    </w:p>
    <w:p>
      <w:pPr>
        <w:pStyle w:val="BodyText2"/>
        <w:numPr>
          <w:ilvl w:val="0"/>
          <w:numId w:val="1"/>
        </w:numPr>
        <w:spacing w:lineRule="auto" w:line="240" w:before="0" w:after="0"/>
        <w:contextualSpacing/>
        <w:jc w:val="both"/>
        <w:rPr/>
      </w:pPr>
      <w:r>
        <w:rPr>
          <w:iCs/>
          <w:sz w:val="24"/>
          <w:szCs w:val="24"/>
          <w:shd w:fill="auto" w:val="clear"/>
        </w:rPr>
        <w:t xml:space="preserve">vzz</w:t>
      </w:r>
    </w:p>
    <w:p>
      <w:pPr>
        <w:pStyle w:val="BodyText2"/>
        <w:numPr>
          <w:ilvl w:val="0"/>
          <w:numId w:val="1"/>
        </w:numPr>
        <w:spacing w:lineRule="auto" w:line="240" w:before="0" w:after="0"/>
        <w:contextualSpacing/>
        <w:jc w:val="both"/>
        <w:rPr/>
      </w:pPr>
      <w:r>
        <w:rPr>
          <w:iCs/>
          <w:sz w:val="24"/>
          <w:szCs w:val="24"/>
          <w:shd w:fill="auto" w:val="clear"/>
        </w:rPr>
        <w:t xml:space="preserve">OZV o stanovení obecního systému odpadového hospodářství</w:t>
      </w:r>
    </w:p>
    <w:p>
      <w:pPr>
        <w:pStyle w:val="BodyText2"/>
        <w:numPr>
          <w:ilvl w:val="0"/>
          <w:numId w:val="1"/>
        </w:numPr>
        <w:spacing w:lineRule="auto" w:line="240" w:before="0" w:after="0"/>
        <w:contextualSpacing/>
        <w:jc w:val="both"/>
        <w:rPr/>
      </w:pPr>
      <w:r>
        <w:rPr>
          <w:iCs/>
          <w:sz w:val="24"/>
          <w:szCs w:val="24"/>
          <w:shd w:fill="auto" w:val="clear"/>
        </w:rPr>
        <w:t xml:space="preserve">Stanoviště a počet sběrných zvláštních nádob na oddělené soustřeďování složek komunálního odpadu</w:t>
      </w:r>
    </w:p>
    <w:p>
      <w:pPr>
        <w:pStyle w:val="BodyText2"/>
        <w:numPr>
          <w:ilvl w:val="0"/>
          <w:numId w:val="1"/>
        </w:numPr>
        <w:spacing w:lineRule="auto" w:line="240" w:before="0" w:after="0"/>
        <w:contextualSpacing/>
        <w:jc w:val="both"/>
        <w:rPr/>
      </w:pPr>
      <w:r>
        <w:rPr>
          <w:iCs/>
          <w:sz w:val="24"/>
          <w:szCs w:val="24"/>
          <w:shd w:fill="auto" w:val="clear"/>
        </w:rPr>
        <w:t xml:space="preserve">ŘSD_Bulovka - Arnoltice - VCP_nab_ (004)</w:t>
      </w:r>
    </w:p>
    <w:p>
      <w:pPr>
        <w:pStyle w:val="BodyText2"/>
        <w:numPr>
          <w:ilvl w:val="0"/>
          <w:numId w:val="1"/>
        </w:numPr>
        <w:spacing w:lineRule="auto" w:line="240" w:before="0" w:after="0"/>
        <w:contextualSpacing/>
        <w:jc w:val="both"/>
        <w:rPr/>
      </w:pPr>
      <w:r>
        <w:rPr>
          <w:iCs/>
          <w:sz w:val="24"/>
          <w:szCs w:val="24"/>
          <w:shd w:fill="auto" w:val="clear"/>
        </w:rPr>
        <w:t xml:space="preserve">LB_10364_Arnoltice_u_Bulovky_PSZ_G5</w:t>
      </w:r>
    </w:p>
    <w:p>
      <w:pPr>
        <w:pStyle w:val="BodyText2"/>
        <w:numPr>
          <w:ilvl w:val="0"/>
          <w:numId w:val="1"/>
        </w:numPr>
        <w:spacing w:lineRule="auto" w:line="240" w:before="0" w:after="0"/>
        <w:contextualSpacing/>
        <w:jc w:val="both"/>
        <w:rPr/>
      </w:pPr>
      <w:r>
        <w:rPr>
          <w:iCs/>
          <w:sz w:val="24"/>
          <w:szCs w:val="24"/>
          <w:shd w:fill="auto" w:val="clear"/>
        </w:rPr>
        <w:t xml:space="preserve">LB_Arnoltice_u_Bulovky_PSZ_TZP_vytah</w:t>
      </w:r>
    </w:p>
    <w:p>
      <w:pPr>
        <w:pStyle w:val="BodyText2"/>
        <w:numPr>
          <w:ilvl w:val="0"/>
          <w:numId w:val="1"/>
        </w:numPr>
        <w:spacing w:lineRule="auto" w:line="240" w:before="0" w:after="0"/>
        <w:contextualSpacing/>
        <w:jc w:val="both"/>
        <w:rPr/>
      </w:pPr>
      <w:r>
        <w:rPr>
          <w:iCs/>
          <w:sz w:val="24"/>
          <w:szCs w:val="24"/>
          <w:shd w:fill="auto" w:val="clear"/>
        </w:rPr>
        <w:t xml:space="preserve">žádost o pacht</w:t>
      </w:r>
    </w:p>
    <w:p>
      <w:pPr>
        <w:pStyle w:val="BodyText2"/>
        <w:numPr>
          <w:ilvl w:val="0"/>
          <w:numId w:val="1"/>
        </w:numPr>
        <w:spacing w:lineRule="auto" w:line="240" w:before="0" w:after="0"/>
        <w:contextualSpacing/>
        <w:jc w:val="both"/>
        <w:rPr/>
      </w:pPr>
      <w:r>
        <w:rPr>
          <w:iCs/>
          <w:sz w:val="24"/>
          <w:szCs w:val="24"/>
          <w:shd w:fill="auto" w:val="clear"/>
        </w:rPr>
        <w:t xml:space="preserve">žádost včelaři</w:t>
      </w:r>
    </w:p>
    <w:p>
      <w:pPr>
        <w:pStyle w:val="BodyText2"/>
        <w:numPr>
          <w:ilvl w:val="0"/>
          <w:numId w:val="1"/>
        </w:numPr>
        <w:spacing w:lineRule="auto" w:line="240" w:before="0" w:after="0"/>
        <w:contextualSpacing/>
        <w:jc w:val="both"/>
        <w:rPr/>
      </w:pPr>
      <w:r>
        <w:rPr>
          <w:iCs/>
          <w:sz w:val="24"/>
          <w:szCs w:val="24"/>
          <w:shd w:fill="auto" w:val="clear"/>
        </w:rPr>
        <w:t xml:space="preserve">Hodnotici_protokol_letni_ucebny_final</w:t>
      </w:r>
    </w:p>
    <w:p>
      <w:pPr>
        <w:pStyle w:val="BodyText2"/>
        <w:numPr>
          <w:ilvl w:val="0"/>
          <w:numId w:val="1"/>
        </w:numPr>
        <w:spacing w:lineRule="auto" w:line="240" w:before="0" w:after="0"/>
        <w:contextualSpacing/>
        <w:jc w:val="both"/>
        <w:rPr/>
      </w:pPr>
      <w:r>
        <w:rPr>
          <w:iCs/>
          <w:sz w:val="24"/>
          <w:szCs w:val="24"/>
          <w:shd w:fill="auto" w:val="clear"/>
        </w:rPr>
        <w:t xml:space="preserve">ZŠ nevymahatelné dluhy</w:t>
      </w:r>
    </w:p>
    <w:p>
      <w:pPr>
        <w:pStyle w:val="BodyText2"/>
        <w:numPr>
          <w:ilvl w:val="0"/>
          <w:numId w:val="1"/>
        </w:numPr>
        <w:spacing w:lineRule="auto" w:line="240" w:before="0" w:after="0"/>
        <w:contextualSpacing/>
        <w:jc w:val="both"/>
        <w:rPr/>
      </w:pPr>
      <w:r>
        <w:rPr>
          <w:iCs/>
          <w:sz w:val="24"/>
          <w:szCs w:val="24"/>
          <w:shd w:fill="auto" w:val="clear"/>
        </w:rPr>
        <w:t xml:space="preserve">Pozvanka na jednani-1-2026</w:t>
      </w:r>
    </w:p>
    <w:p>
      <w:pPr>
        <w:pStyle w:val="BodyText2"/>
        <w:numPr>
          <w:ilvl w:val="0"/>
          <w:numId w:val="1"/>
        </w:numPr>
        <w:spacing w:lineRule="auto" w:line="240" w:before="0" w:after="0"/>
        <w:contextualSpacing/>
        <w:jc w:val="both"/>
        <w:rPr/>
      </w:pPr>
      <w:r>
        <w:rPr>
          <w:iCs/>
          <w:sz w:val="24"/>
          <w:szCs w:val="24"/>
          <w:shd w:fill="auto" w:val="clear"/>
        </w:rPr>
        <w:t xml:space="preserve">Návrh na změu stanov - čistopis</w:t>
      </w:r>
    </w:p>
    <w:p>
      <w:pPr>
        <w:pStyle w:val="BodyText2"/>
        <w:numPr>
          <w:ilvl w:val="0"/>
          <w:numId w:val="1"/>
        </w:numPr>
        <w:spacing w:lineRule="auto" w:line="240" w:before="0" w:after="0"/>
        <w:contextualSpacing/>
        <w:jc w:val="both"/>
        <w:rPr/>
      </w:pPr>
      <w:r>
        <w:rPr>
          <w:iCs/>
          <w:sz w:val="24"/>
          <w:szCs w:val="24"/>
          <w:shd w:fill="auto" w:val="clear"/>
        </w:rPr>
        <w:t xml:space="preserve">Prehled navysovani zakladniho kapitalu - priloha 1 smlouvy</w:t>
      </w:r>
    </w:p>
    <w:p>
      <w:pPr>
        <w:pStyle w:val="BodyText2"/>
        <w:numPr>
          <w:ilvl w:val="0"/>
          <w:numId w:val="1"/>
        </w:numPr>
        <w:spacing w:lineRule="auto" w:line="240" w:before="0" w:after="0"/>
        <w:contextualSpacing/>
        <w:jc w:val="both"/>
        <w:rPr/>
      </w:pPr>
      <w:r>
        <w:rPr>
          <w:iCs/>
          <w:sz w:val="24"/>
          <w:szCs w:val="24"/>
          <w:shd w:fill="auto" w:val="clear"/>
        </w:rPr>
        <w:t xml:space="preserve">FVS_260506_Smlouva mezi akcionari</w:t>
      </w:r>
    </w:p>
    <w:p>
      <w:pPr>
        <w:pStyle w:val="BodyText2"/>
        <w:numPr>
          <w:ilvl w:val="0"/>
          <w:numId w:val="1"/>
        </w:numPr>
        <w:spacing w:lineRule="auto" w:line="240" w:before="0" w:after="0"/>
        <w:contextualSpacing/>
        <w:jc w:val="both"/>
        <w:rPr/>
      </w:pPr>
      <w:r>
        <w:rPr>
          <w:iCs/>
          <w:sz w:val="24"/>
          <w:szCs w:val="24"/>
          <w:shd w:fill="auto" w:val="clear"/>
        </w:rPr>
        <w:t xml:space="preserve">Mapa_05.06.2026</w:t>
      </w:r>
    </w:p>
    <w:p>
      <w:pPr>
        <w:pStyle w:val="BodyText2"/>
        <w:numPr>
          <w:ilvl w:val="0"/>
          <w:numId w:val="1"/>
        </w:numPr>
        <w:spacing w:lineRule="auto" w:line="240" w:before="0" w:after="0"/>
        <w:contextualSpacing/>
        <w:jc w:val="both"/>
        <w:rPr/>
      </w:pPr>
      <w:r>
        <w:rPr>
          <w:iCs/>
          <w:sz w:val="24"/>
          <w:szCs w:val="24"/>
          <w:shd w:fill="auto" w:val="clear"/>
        </w:rPr>
        <w:t xml:space="preserve">varianty přeložky</w:t>
      </w:r>
    </w:p>
    <w:p>
      <w:pPr>
        <w:pStyle w:val="BodyText2"/>
        <w:numPr>
          <w:ilvl w:val="0"/>
          <w:numId w:val="0"/>
        </w:numPr>
        <w:spacing w:lineRule="auto" w:line="240" w:before="0" w:after="0"/>
        <w:ind w:left="720" w:hanging="0"/>
        <w:contextualSpacing/>
        <w:jc w:val="both"/>
        <w:rPr/>
      </w:pPr>
      <w:r>
        <w:rPr>
          <w:iCs/>
          <w:sz w:val="24"/>
          <w:szCs w:val="24"/>
          <w:shd w:fill="auto" w:val="clear"/>
        </w:rPr>
        <w:t xml:space="preserve"/>
      </w:r>
    </w:p>
    <w:p>
      <w:pPr>
        <w:pStyle w:val="BodyText2"/>
        <w:spacing w:lineRule="auto" w:line="240" w:before="0" w:after="0"/>
        <w:rPr>
          <w:highlight w:val="none"/>
          <w:shd w:fill="auto" w:val="clear"/>
        </w:rPr>
      </w:pPr>
      <w:r>
        <w:rPr>
          <w:i/>
          <w:iCs/>
          <w:shd w:fill="auto" w:val="clear"/>
        </w:rPr>
        <w:t xml:space="preserve">Výpis byl vyhotoven dne: 10. 6. 2026</w:t>
      </w:r>
    </w:p>
    <w:p>
      <w:pPr>
        <w:pStyle w:val="BodyText2"/>
        <w:spacing w:lineRule="auto" w:line="240" w:before="0" w:after="0"/>
        <w:rPr>
          <w:i/>
          <w:i/>
          <w:iCs/>
          <w:highlight w:val="none"/>
          <w:shd w:fill="auto" w:val="clear"/>
        </w:rPr>
      </w:pPr>
      <w:r>
        <w:rPr>
          <w:i/>
          <w:iCs/>
          <w:shd w:fill="auto" w:val="clear"/>
        </w:rPr>
      </w:r>
    </w:p>
    <w:p>
      <w:pPr>
        <w:pStyle w:val="BodyText2"/>
        <w:spacing w:lineRule="auto" w:line="240" w:before="0" w:after="0"/>
        <w:rPr>
          <w:highlight w:val="none"/>
          <w:shd w:fill="auto" w:val="clear"/>
        </w:rPr>
      </w:pPr>
      <w:r>
        <w:rPr>
          <w:i/>
          <w:iCs/>
          <w:shd w:fill="auto" w:val="clear"/>
        </w:rPr>
        <w:t xml:space="preserve">Zapisovatelé: </w:t>
      </w:r>
    </w:p>
    <w:p>
      <w:pPr>
        <w:pStyle w:val="BodyText2"/>
        <w:spacing w:lineRule="auto" w:line="240" w:before="0" w:after="0"/>
        <w:rPr>
          <w:highlight w:val="none"/>
          <w:shd w:fill="auto" w:val="clear"/>
        </w:rPr>
      </w:pPr>
      <w:r>
        <w:rPr>
          <w:i/>
          <w:iCs/>
          <w:shd w:fill="auto" w:val="clear"/>
        </w:rPr>
        <w:tab/>
        <w:tab/>
        <w:t xml:space="preserve">Petra Jeřábková</w:t>
        <w:tab/>
        <w:tab/>
        <w:t>…………………………..</w:t>
      </w:r>
    </w:p>
    <w:p>
      <w:pPr>
        <w:pStyle w:val="BodyText2"/>
        <w:spacing w:lineRule="auto" w:line="240" w:before="0" w:after="0"/>
        <w:rPr>
          <w:highlight w:val="none"/>
          <w:shd w:fill="auto" w:val="clear"/>
        </w:rPr>
      </w:pPr>
      <w:r>
        <w:rPr>
          <w:iCs/>
          <w:shd w:fill="auto" w:val="clear"/>
        </w:rPr>
        <w:t xml:space="preserve"/>
      </w:r>
    </w:p>
    <w:p>
      <w:pPr>
        <w:pStyle w:val="BodyText2"/>
        <w:spacing w:lineRule="auto" w:line="240" w:before="0" w:after="0"/>
        <w:rPr>
          <w:highlight w:val="none"/>
          <w:shd w:fill="auto" w:val="clear"/>
        </w:rPr>
      </w:pPr>
      <w:r>
        <w:rPr>
          <w:iCs/>
          <w:shd w:fill="auto" w:val="clear"/>
        </w:rPr>
        <w:t>Ověřovatelé:</w:t>
      </w:r>
      <w:r>
        <w:rPr>
          <w:i/>
          <w:iCs/>
          <w:shd w:fill="auto" w:val="clear"/>
        </w:rPr>
        <w:t xml:space="preserve"/>
      </w:r>
    </w:p>
    <w:p>
      <w:pPr>
        <w:pStyle w:val="BodyText2"/>
        <w:spacing w:lineRule="auto" w:line="240" w:before="0" w:after="0"/>
        <w:rPr>
          <w:highlight w:val="none"/>
          <w:shd w:fill="auto" w:val="clear"/>
        </w:rPr>
      </w:pPr>
      <w:r>
        <w:rPr>
          <w:i/>
          <w:iCs/>
          <w:shd w:fill="auto" w:val="clear"/>
        </w:rPr>
        <w:tab/>
        <w:tab/>
        <w:t xml:space="preserve">Lucie Durcová</w:t>
        <w:tab/>
        <w:tab/>
        <w:t>…………………………..</w:t>
      </w:r>
    </w:p>
    <w:p>
      <w:pPr>
        <w:pStyle w:val="BodyText2"/>
        <w:spacing w:lineRule="auto" w:line="240" w:before="0" w:after="0"/>
        <w:rPr>
          <w:highlight w:val="none"/>
          <w:shd w:fill="auto" w:val="clear"/>
        </w:rPr>
      </w:pPr>
      <w:r>
        <w:rPr>
          <w:iCs/>
          <w:shd w:fill="auto" w:val="clear"/>
        </w:rPr>
        <w:t xml:space="preserve"/>
      </w:r>
    </w:p>
    <w:p>
      <w:pPr>
        <w:pStyle w:val="BodyText2"/>
        <w:spacing w:lineRule="auto" w:line="240" w:before="0" w:after="0"/>
        <w:rPr>
          <w:highlight w:val="none"/>
          <w:shd w:fill="auto" w:val="clear"/>
        </w:rPr>
      </w:pPr>
      <w:r>
        <w:rPr>
          <w:i/>
          <w:iCs/>
          <w:shd w:fill="auto" w:val="clear"/>
        </w:rPr>
        <w:tab/>
        <w:tab/>
        <w:t xml:space="preserve">Libor Hynek</w:t>
        <w:tab/>
        <w:tab/>
        <w:t>…………………………..</w:t>
      </w:r>
    </w:p>
    <w:p>
      <w:pPr>
        <w:pStyle w:val="BodyText2"/>
        <w:spacing w:lineRule="auto" w:line="240" w:before="0" w:after="0"/>
        <w:rPr>
          <w:highlight w:val="none"/>
          <w:shd w:fill="auto" w:val="clear"/>
        </w:rPr>
      </w:pPr>
      <w:r>
        <w:rPr>
          <w:iCs/>
          <w:shd w:fill="auto" w:val="clear"/>
        </w:rPr>
        <w:t xml:space="preserve"/>
      </w:r>
    </w:p>
    <w:p>
      <w:pPr>
        <w:pStyle w:val="BodyText2"/>
        <w:spacing w:lineRule="auto" w:line="240" w:before="0" w:after="0"/>
        <w:ind w:left="1416" w:firstLine="708"/>
        <w:rPr>
          <w:iCs/>
          <w:highlight w:val="none"/>
          <w:shd w:fill="auto" w:val="clear"/>
        </w:rPr>
      </w:pPr>
      <w:r>
        <w:rPr>
          <w:iCs/>
          <w:shd w:fill="auto" w:val="clear"/>
        </w:rPr>
      </w:r>
    </w:p>
    <w:p>
      <w:pPr>
        <w:pStyle w:val="BodyText2"/>
        <w:spacing w:lineRule="auto" w:line="240" w:before="0" w:after="0"/>
        <w:rPr>
          <w:highlight w:val="none"/>
          <w:shd w:fill="auto" w:val="clear"/>
        </w:rPr>
      </w:pPr>
      <w:r>
        <w:rPr>
          <w:iCs/>
          <w:shd w:fill="auto" w:val="clear"/>
        </w:rPr>
        <w:t xml:space="preserve">Starostka:</w:t>
        <w:tab/>
        <w:t xml:space="preserve">Romana Šidlová</w:t>
        <w:tab/>
        <w:tab/>
      </w:r>
      <w:r>
        <w:rPr>
          <w:i/>
          <w:iCs/>
          <w:shd w:fill="auto" w:val="clear"/>
        </w:rPr>
        <w:t>…………………………..</w:t>
      </w:r>
    </w:p>
    <w:p>
      <w:pPr>
        <w:pStyle w:val="Normal"/>
        <w:spacing w:lineRule="exact" w:line="255" w:before="0" w:after="80"/>
        <w:contextualSpacing/>
        <w:jc w:val="left"/>
        <w:rPr/>
      </w:pPr>
      <w:r>
        <w:rPr>
          <w:sz w:val="24"/>
          <w:szCs w:val="24"/>
          <w:lang w:val="cs-CZ"/>
        </w:rPr>
        <w:t xml:space="preserve"> </w:t>
      </w:r>
    </w:p>
    <w:sectPr>
      <w:headerReference w:type="default" r:id="rId2"/>
      <w:footerReference w:type="default" r:id="rId3"/>
      <w:type w:val="nextPage"/>
      <w:pgSz w:w="12240" w:h="15840"/>
      <w:pgMar w:left="1440" w:right="1440" w:gutter="0" w:header="720" w:top="2281" w:footer="493" w:bottom="121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auto"/>
    <w:pitch w:val="default"/>
  </w:font>
  <w:font w:name="Aptos Display">
    <w:charset w:val="01"/>
    <w:family w:val="auto"/>
    <w:pitch w:val="default"/>
  </w:font>
  <w:font w:name="Liberation Sans">
    <w:altName w:val="Aria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9360"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525"/>
      <w:gridCol w:w="2268"/>
      <w:gridCol w:w="2880"/>
      <w:gridCol w:w="2793"/>
      <w:gridCol w:w="894"/>
    </w:tblGrid>
    <w:tr>
      <w:trPr>
        <w:trHeight w:val="495" w:hRule="atLeast"/>
      </w:trPr>
      <w:tc>
        <w:tcPr>
          <w:tcW w:w="525" w:type="dxa"/>
          <w:tcBorders>
            <w:top w:val="single" w:sz="4" w:space="0" w:color="7F7F7F"/>
            <w:left w:val="nil"/>
            <w:bottom w:val="nil"/>
            <w:right w:val="nil"/>
          </w:tcBorders>
          <w:vAlign w:val="center"/>
        </w:tcPr>
        <w:p>
          <w:pPr>
            <w:pStyle w:val="Footer"/>
            <w:widowControl w:val="false"/>
            <w:suppressAutoHyphens w:val="true"/>
            <w:bidi w:val="0"/>
            <w:spacing w:before="0" w:after="0"/>
            <w:jc w:val="left"/>
            <w:rPr>
              <w:sz w:val="24"/>
              <w:szCs w:val="28"/>
            </w:rPr>
          </w:pPr>
          <w:r>
            <w:rPr>
              <w:sz w:val="24"/>
              <w:szCs w:val="28"/>
            </w:rPr>
            <w:drawing>
              <wp:anchor behindDoc="1" distT="0" distB="0" distL="0" distR="0" simplePos="0" locked="0" layoutInCell="1" allowOverlap="1" relativeHeight="5">
                <wp:simplePos x="0" y="0"/>
                <wp:positionH relativeFrom="column">
                  <wp:posOffset>-111760</wp:posOffset>
                </wp:positionH>
                <wp:positionV relativeFrom="paragraph">
                  <wp:posOffset>88900</wp:posOffset>
                </wp:positionV>
                <wp:extent cx="371475" cy="400685"/>
                <wp:effectExtent l="0" t="0" r="0" b="0"/>
                <wp:wrapNone/>
                <wp:docPr id="2" name="Image1" descr="Bez názv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Bez názvu.bmp"/>
                        <pic:cNvPicPr>
                          <a:picLocks noChangeAspect="1" noChangeArrowheads="1"/>
                        </pic:cNvPicPr>
                      </pic:nvPicPr>
                      <pic:blipFill>
                        <a:blip r:embed="rId1"/>
                        <a:stretch>
                          <a:fillRect/>
                        </a:stretch>
                      </pic:blipFill>
                      <pic:spPr bwMode="auto">
                        <a:xfrm>
                          <a:off x="0" y="0"/>
                          <a:ext cx="371475" cy="400685"/>
                        </a:xfrm>
                        <a:prstGeom prst="rect">
                          <a:avLst/>
                        </a:prstGeom>
                      </pic:spPr>
                    </pic:pic>
                  </a:graphicData>
                </a:graphic>
              </wp:anchor>
            </w:drawing>
          </w:r>
        </w:p>
      </w:tc>
      <w:tc>
        <w:tcPr>
          <w:tcW w:w="2268" w:type="dxa"/>
          <w:tcBorders>
            <w:top w:val="single" w:sz="4" w:space="0" w:color="7F7F7F"/>
            <w:left w:val="nil"/>
            <w:bottom w:val="nil"/>
            <w:right w:val="nil"/>
          </w:tcBorders>
          <w:vAlign w:val="center"/>
        </w:tcPr>
        <w:p>
          <w:pPr>
            <w:pStyle w:val="Footer"/>
            <w:widowControl w:val="false"/>
            <w:suppressAutoHyphens w:val="true"/>
            <w:bidi w:val="0"/>
            <w:spacing w:before="0" w:after="0"/>
            <w:jc w:val="left"/>
            <w:rPr>
              <w:sz w:val="24"/>
              <w:szCs w:val="28"/>
            </w:rPr>
          </w:pPr>
          <w:r>
            <w:rPr>
              <w:rFonts w:eastAsia="" w:cs=""/>
              <w:b/>
              <w:bCs/>
              <w:kern w:val="0"/>
              <w:sz w:val="24"/>
              <w:szCs w:val="28"/>
              <w:lang w:val="en-US" w:eastAsia="ja-JP" w:bidi="ar-SA"/>
            </w:rPr>
            <w:t xml:space="preserve">Bulovka</w:t>
          </w:r>
        </w:p>
      </w:tc>
      <w:tc>
        <w:tcPr>
          <w:tcW w:w="2880" w:type="dxa"/>
          <w:tcBorders>
            <w:top w:val="single" w:sz="4" w:space="0" w:color="7F7F7F"/>
            <w:left w:val="nil"/>
            <w:bottom w:val="nil"/>
            <w:right w:val="nil"/>
          </w:tcBorders>
          <w:vAlign w:val="center"/>
        </w:tcPr>
        <w:p>
          <w:pPr>
            <w:pStyle w:val="Footer"/>
            <w:widowControl w:val="false"/>
            <w:suppressAutoHyphens w:val="true"/>
            <w:bidi w:val="0"/>
            <w:spacing w:before="0" w:after="0"/>
            <w:jc w:val="left"/>
            <w:rPr>
              <w:sz w:val="20"/>
              <w:szCs w:val="24"/>
            </w:rPr>
          </w:pPr>
          <w:r>
            <w:rPr>
              <w:rFonts w:eastAsia="" w:cs=""/>
              <w:color w:val="404040" w:themeColor="text1" w:themeShade="ff" w:themeTint="bf"/>
              <w:kern w:val="0"/>
              <w:sz w:val="20"/>
              <w:szCs w:val="24"/>
              <w:lang w:val="en-US" w:eastAsia="ja-JP" w:bidi="ar-SA"/>
            </w:rPr>
            <w:t>IČO:</w:t>
          </w:r>
          <w:r>
            <w:rPr>
              <w:rFonts w:eastAsia="" w:cs=""/>
              <w:kern w:val="0"/>
              <w:sz w:val="20"/>
              <w:szCs w:val="24"/>
              <w:lang w:val="en-US" w:eastAsia="ja-JP" w:bidi="ar-SA"/>
            </w:rPr>
            <w:t xml:space="preserve"> 00262692</w:t>
          </w:r>
        </w:p>
      </w:tc>
      <w:tc>
        <w:tcPr>
          <w:tcW w:w="2793" w:type="dxa"/>
          <w:tcBorders>
            <w:top w:val="single" w:sz="4" w:space="0" w:color="7F7F7F"/>
            <w:left w:val="nil"/>
            <w:bottom w:val="nil"/>
            <w:right w:val="nil"/>
          </w:tcBorders>
          <w:vAlign w:val="center"/>
        </w:tcPr>
        <w:p>
          <w:pPr>
            <w:pStyle w:val="Footer"/>
            <w:widowControl w:val="false"/>
            <w:suppressAutoHyphens w:val="true"/>
            <w:bidi w:val="0"/>
            <w:spacing w:before="0" w:after="0"/>
            <w:jc w:val="left"/>
            <w:rPr>
              <w:sz w:val="20"/>
              <w:szCs w:val="24"/>
            </w:rPr>
          </w:pPr>
          <w:r>
            <w:rPr>
              <w:rFonts w:eastAsia="" w:cs=""/>
              <w:color w:val="404040" w:themeColor="text1" w:themeShade="ff" w:themeTint="bf"/>
              <w:kern w:val="0"/>
              <w:sz w:val="20"/>
              <w:szCs w:val="24"/>
              <w:lang w:val="en-US" w:eastAsia="ja-JP" w:bidi="ar-SA"/>
            </w:rPr>
            <w:t>Tel.:</w:t>
          </w:r>
          <w:r>
            <w:rPr>
              <w:rFonts w:eastAsia="" w:cs=""/>
              <w:kern w:val="0"/>
              <w:sz w:val="20"/>
              <w:szCs w:val="24"/>
              <w:lang w:val="en-US" w:eastAsia="ja-JP" w:bidi="ar-SA"/>
            </w:rPr>
            <w:t xml:space="preserve"> 482 343 006</w:t>
          </w:r>
        </w:p>
      </w:tc>
      <w:tc>
        <w:tcPr>
          <w:tcW w:w="894" w:type="dxa"/>
          <w:tcBorders>
            <w:top w:val="single" w:sz="4" w:space="0" w:color="7F7F7F"/>
            <w:left w:val="nil"/>
            <w:bottom w:val="nil"/>
            <w:right w:val="nil"/>
          </w:tcBorders>
          <w:vAlign w:val="center"/>
        </w:tcPr>
        <w:p>
          <w:pPr>
            <w:pStyle w:val="Footer"/>
            <w:widowControl w:val="false"/>
            <w:suppressAutoHyphens w:val="true"/>
            <w:bidi w:val="0"/>
            <w:spacing w:before="0" w:after="0"/>
            <w:jc w:val="left"/>
            <w:rPr>
              <w:rFonts w:ascii="Aptos" w:hAnsi="Aptos" w:eastAsia="" w:cs=""/>
              <w:kern w:val="0"/>
              <w:sz w:val="24"/>
              <w:szCs w:val="24"/>
              <w:lang w:val="en-US" w:eastAsia="ja-JP" w:bidi="ar-SA"/>
            </w:rPr>
          </w:pPr>
          <w:r>
            <w:rPr>
              <w:rFonts w:eastAsia="" w:cs=""/>
              <w:kern w:val="0"/>
              <w:sz w:val="24"/>
              <w:szCs w:val="24"/>
              <w:lang w:val="en-US" w:eastAsia="ja-JP" w:bidi="ar-SA"/>
            </w:rPr>
          </w:r>
        </w:p>
      </w:tc>
    </w:tr>
    <w:tr>
      <w:trPr>
        <w:trHeight w:val="360" w:hRule="atLeast"/>
      </w:trPr>
      <w:tc>
        <w:tcPr>
          <w:tcW w:w="525" w:type="dxa"/>
          <w:tcBorders>
            <w:top w:val="nil"/>
            <w:left w:val="nil"/>
            <w:bottom w:val="nil"/>
            <w:right w:val="nil"/>
          </w:tcBorders>
        </w:tcPr>
        <w:p>
          <w:pPr>
            <w:pStyle w:val="Footer"/>
            <w:widowControl w:val="false"/>
            <w:suppressAutoHyphens w:val="true"/>
            <w:bidi w:val="0"/>
            <w:spacing w:before="0" w:after="0"/>
            <w:jc w:val="left"/>
            <w:rPr>
              <w:sz w:val="20"/>
              <w:szCs w:val="24"/>
            </w:rPr>
          </w:pPr>
          <w:r>
            <w:rPr>
              <w:sz w:val="20"/>
              <w:szCs w:val="24"/>
            </w:rPr>
          </w:r>
        </w:p>
      </w:tc>
      <w:tc>
        <w:tcPr>
          <w:tcW w:w="2268" w:type="dxa"/>
          <w:tcBorders>
            <w:top w:val="nil"/>
            <w:left w:val="nil"/>
            <w:bottom w:val="nil"/>
            <w:right w:val="nil"/>
          </w:tcBorders>
        </w:tcPr>
        <w:p>
          <w:pPr>
            <w:pStyle w:val="Footer"/>
            <w:widowControl w:val="false"/>
            <w:suppressAutoHyphens w:val="true"/>
            <w:bidi w:val="0"/>
            <w:spacing w:before="0" w:after="0"/>
            <w:jc w:val="left"/>
            <w:rPr>
              <w:sz w:val="20"/>
              <w:szCs w:val="24"/>
            </w:rPr>
          </w:pPr>
          <w:r>
            <w:rPr>
              <w:rFonts w:eastAsia="" w:cs=""/>
              <w:kern w:val="0"/>
              <w:sz w:val="20"/>
              <w:szCs w:val="24"/>
              <w:lang w:val="en-US" w:eastAsia="ja-JP" w:bidi="ar-SA"/>
            </w:rPr>
            <w:t>www.obecbulovka.cz</w:t>
          </w:r>
        </w:p>
      </w:tc>
      <w:tc>
        <w:tcPr>
          <w:tcW w:w="2880" w:type="dxa"/>
          <w:tcBorders>
            <w:top w:val="nil"/>
            <w:left w:val="nil"/>
            <w:bottom w:val="nil"/>
            <w:right w:val="nil"/>
          </w:tcBorders>
        </w:tcPr>
        <w:p>
          <w:pPr>
            <w:pStyle w:val="Footer"/>
            <w:widowControl w:val="false"/>
            <w:suppressAutoHyphens w:val="true"/>
            <w:bidi w:val="0"/>
            <w:spacing w:before="0" w:after="0"/>
            <w:jc w:val="left"/>
            <w:rPr>
              <w:sz w:val="20"/>
              <w:szCs w:val="24"/>
            </w:rPr>
          </w:pPr>
          <w:r>
            <w:rPr>
              <w:rFonts w:eastAsia="" w:cs=""/>
              <w:color w:val="404040" w:themeColor="text1" w:themeShade="ff" w:themeTint="bf"/>
              <w:kern w:val="0"/>
              <w:sz w:val="20"/>
              <w:szCs w:val="24"/>
              <w:lang w:val="en-US" w:eastAsia="ja-JP" w:bidi="ar-SA"/>
            </w:rPr>
            <w:t>Datová schránka:</w:t>
          </w:r>
          <w:r>
            <w:rPr>
              <w:rFonts w:eastAsia="" w:cs=""/>
              <w:kern w:val="0"/>
              <w:sz w:val="20"/>
              <w:szCs w:val="24"/>
              <w:lang w:val="en-US" w:eastAsia="ja-JP" w:bidi="ar-SA"/>
            </w:rPr>
            <w:t xml:space="preserve"> 3mfbmwy</w:t>
          </w:r>
        </w:p>
      </w:tc>
      <w:tc>
        <w:tcPr>
          <w:tcW w:w="2793" w:type="dxa"/>
          <w:tcBorders>
            <w:top w:val="nil"/>
            <w:left w:val="nil"/>
            <w:bottom w:val="nil"/>
            <w:right w:val="nil"/>
          </w:tcBorders>
        </w:tcPr>
        <w:p>
          <w:pPr>
            <w:pStyle w:val="Footer"/>
            <w:widowControl w:val="false"/>
            <w:suppressAutoHyphens w:val="true"/>
            <w:bidi w:val="0"/>
            <w:spacing w:before="0" w:after="0"/>
            <w:jc w:val="left"/>
            <w:rPr>
              <w:sz w:val="20"/>
              <w:szCs w:val="24"/>
            </w:rPr>
          </w:pPr>
          <w:r>
            <w:rPr>
              <w:rFonts w:eastAsia="" w:cs=""/>
              <w:kern w:val="0"/>
              <w:sz w:val="20"/>
              <w:szCs w:val="24"/>
              <w:lang w:val="en-US" w:eastAsia="ja-JP" w:bidi="ar-SA"/>
            </w:rPr>
            <w:t>podatelna@obecbulovka.cz</w:t>
          </w:r>
        </w:p>
      </w:tc>
      <w:tc>
        <w:tcPr>
          <w:tcW w:w="894" w:type="dxa"/>
          <w:tcBorders>
            <w:top w:val="nil"/>
            <w:left w:val="nil"/>
            <w:bottom w:val="nil"/>
            <w:right w:val="nil"/>
          </w:tcBorders>
        </w:tcPr>
        <w:p>
          <w:pPr>
            <w:pStyle w:val="Footer"/>
            <w:widowControl w:val="false"/>
            <w:suppressAutoHyphens w:val="true"/>
            <w:spacing w:before="0" w:after="0"/>
            <w:jc w:val="right"/>
            <w:rPr>
              <w:rFonts w:ascii="Aptos" w:hAnsi="Aptos" w:eastAsia="" w:cs=""/>
              <w:kern w:val="0"/>
              <w:sz w:val="24"/>
              <w:szCs w:val="24"/>
              <w:lang w:val="en-US" w:eastAsia="ja-JP" w:bidi="ar-SA"/>
            </w:rPr>
          </w:pPr>
          <w:r>
            <w:rPr>
              <w:rFonts w:eastAsia="" w:cs=""/>
              <w:kern w:val="0"/>
              <w:sz w:val="24"/>
              <w:szCs w:val="24"/>
              <w:lang w:val="en-US" w:eastAsia="ja-JP" w:bidi="ar-SA"/>
            </w:rPr>
            <w:fldChar w:fldCharType="begin"/>
          </w:r>
          <w:r>
            <w:rPr>
              <w:sz w:val="24"/>
              <w:kern w:val="0"/>
              <w:szCs w:val="24"/>
              <w:rFonts w:eastAsia="" w:cs=""/>
              <w:lang w:val="en-US" w:eastAsia="ja-JP" w:bidi="ar-SA"/>
            </w:rPr>
            <w:instrText xml:space="preserve"> PAGE </w:instrText>
          </w:r>
          <w:r>
            <w:rPr>
              <w:sz w:val="24"/>
              <w:kern w:val="0"/>
              <w:szCs w:val="24"/>
              <w:rFonts w:eastAsia="" w:cs=""/>
              <w:lang w:val="en-US" w:eastAsia="ja-JP" w:bidi="ar-SA"/>
            </w:rPr>
            <w:fldChar w:fldCharType="separate"/>
          </w:r>
          <w:r>
            <w:rPr>
              <w:sz w:val="24"/>
              <w:kern w:val="0"/>
              <w:szCs w:val="24"/>
              <w:rFonts w:eastAsia="" w:cs=""/>
              <w:lang w:val="en-US" w:eastAsia="ja-JP" w:bidi="ar-SA"/>
            </w:rPr>
            <w:t>2</w:t>
          </w:r>
          <w:r>
            <w:rPr>
              <w:sz w:val="24"/>
              <w:kern w:val="0"/>
              <w:szCs w:val="24"/>
              <w:rFonts w:eastAsia="" w:cs=""/>
              <w:lang w:val="en-US" w:eastAsia="ja-JP" w:bidi="ar-SA"/>
            </w:rPr>
            <w:fldChar w:fldCharType="end"/>
          </w:r>
          <w:r>
            <w:rPr>
              <w:rFonts w:eastAsia="" w:cs=""/>
              <w:kern w:val="0"/>
              <w:sz w:val="24"/>
              <w:szCs w:val="24"/>
              <w:lang w:val="en-US" w:eastAsia="ja-JP" w:bidi="ar-SA"/>
            </w:rPr>
            <w:t xml:space="preserve"> </w:t>
          </w:r>
          <w:r>
            <w:rPr>
              <w:rFonts w:eastAsia="" w:cs=""/>
              <w:kern w:val="0"/>
              <w:sz w:val="24"/>
              <w:szCs w:val="24"/>
              <w:lang w:val="en-US" w:eastAsia="ja-JP" w:bidi="ar-SA"/>
            </w:rPr>
            <w:t xml:space="preserve">| </w:t>
          </w:r>
          <w:r>
            <w:rPr>
              <w:rFonts w:eastAsia="" w:cs=""/>
              <w:kern w:val="0"/>
              <w:sz w:val="24"/>
              <w:szCs w:val="24"/>
              <w:lang w:val="en-US" w:eastAsia="ja-JP" w:bidi="ar-SA"/>
            </w:rPr>
            <w:fldChar w:fldCharType="begin"/>
          </w:r>
          <w:r>
            <w:rPr>
              <w:sz w:val="24"/>
              <w:kern w:val="0"/>
              <w:szCs w:val="24"/>
              <w:rFonts w:eastAsia="" w:cs=""/>
              <w:lang w:val="en-US" w:eastAsia="ja-JP" w:bidi="ar-SA"/>
            </w:rPr>
            <w:instrText xml:space="preserve"> NUMPAGES </w:instrText>
          </w:r>
          <w:r>
            <w:rPr>
              <w:sz w:val="24"/>
              <w:kern w:val="0"/>
              <w:szCs w:val="24"/>
              <w:rFonts w:eastAsia="" w:cs=""/>
              <w:lang w:val="en-US" w:eastAsia="ja-JP" w:bidi="ar-SA"/>
            </w:rPr>
            <w:fldChar w:fldCharType="separate"/>
          </w:r>
          <w:r>
            <w:rPr>
              <w:sz w:val="24"/>
              <w:kern w:val="0"/>
              <w:szCs w:val="24"/>
              <w:rFonts w:eastAsia="" w:cs=""/>
              <w:lang w:val="en-US" w:eastAsia="ja-JP" w:bidi="ar-SA"/>
            </w:rPr>
            <w:t>2</w:t>
          </w:r>
          <w:r>
            <w:rPr>
              <w:sz w:val="24"/>
              <w:kern w:val="0"/>
              <w:szCs w:val="24"/>
              <w:rFonts w:eastAsia="" w:cs=""/>
              <w:lang w:val="en-US" w:eastAsia="ja-JP" w:bidi="ar-SA"/>
            </w:rPr>
            <w:fldChar w:fldCharType="end"/>
          </w:r>
        </w:p>
      </w:tc>
    </w:tr>
  </w:tbl>
  <w:p>
    <w:pPr>
      <w:pStyle w:val="Normal"/>
      <w:spacing w:before="0" w:after="1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360"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823"/>
      <w:gridCol w:w="8536"/>
    </w:tblGrid>
    <w:tr>
      <w:trPr>
        <w:trHeight w:val="859" w:hRule="atLeast"/>
      </w:trPr>
      <w:tc>
        <w:tcPr>
          <w:tcW w:w="823" w:type="dxa"/>
          <w:tcBorders/>
        </w:tcPr>
        <w:p>
          <w:pPr>
            <w:pStyle w:val="Header"/>
            <w:widowControl w:val="false"/>
            <w:suppressAutoHyphens w:val="true"/>
            <w:bidi w:val="0"/>
            <w:spacing w:before="0" w:after="0"/>
            <w:ind w:left="-115" w:hanging="0"/>
            <w:jc w:val="left"/>
            <w:rPr>
              <w:rFonts w:ascii="Aptos" w:hAnsi="Aptos" w:eastAsia="" w:cs=""/>
              <w:kern w:val="0"/>
              <w:sz w:val="24"/>
              <w:szCs w:val="24"/>
              <w:lang w:val="en-US" w:eastAsia="ja-JP" w:bidi="ar-SA"/>
            </w:rPr>
          </w:pPr>
          <w:r>
            <w:rPr>
              <w:rFonts w:eastAsia="" w:cs=""/>
              <w:kern w:val="0"/>
              <w:sz w:val="24"/>
              <w:szCs w:val="24"/>
              <w:lang w:val="en-US" w:eastAsia="ja-JP" w:bidi="ar-SA"/>
            </w:rPr>
            <w:drawing>
              <wp:anchor behindDoc="1" distT="0" distB="0" distL="0" distR="0" simplePos="0" locked="0" layoutInCell="1" allowOverlap="1" relativeHeight="3">
                <wp:simplePos x="0" y="0"/>
                <wp:positionH relativeFrom="column">
                  <wp:posOffset>-52070</wp:posOffset>
                </wp:positionH>
                <wp:positionV relativeFrom="paragraph">
                  <wp:posOffset>43180</wp:posOffset>
                </wp:positionV>
                <wp:extent cx="488315" cy="527050"/>
                <wp:effectExtent l="0" t="0" r="0" b="0"/>
                <wp:wrapNone/>
                <wp:docPr id="1" name="Obrázek 5" descr="Bez názv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5" descr="Bez názvu.bmp"/>
                        <pic:cNvPicPr>
                          <a:picLocks noChangeAspect="1" noChangeArrowheads="1"/>
                        </pic:cNvPicPr>
                      </pic:nvPicPr>
                      <pic:blipFill>
                        <a:blip r:embed="rId1"/>
                        <a:stretch>
                          <a:fillRect/>
                        </a:stretch>
                      </pic:blipFill>
                      <pic:spPr bwMode="auto">
                        <a:xfrm>
                          <a:off x="0" y="0"/>
                          <a:ext cx="488315" cy="527050"/>
                        </a:xfrm>
                        <a:prstGeom prst="rect">
                          <a:avLst/>
                        </a:prstGeom>
                      </pic:spPr>
                    </pic:pic>
                  </a:graphicData>
                </a:graphic>
              </wp:anchor>
            </w:drawing>
          </w:r>
        </w:p>
      </w:tc>
      <w:tc>
        <w:tcPr>
          <w:tcW w:w="8536" w:type="dxa"/>
          <w:tcBorders/>
          <w:vAlign w:val="center"/>
        </w:tcPr>
        <w:p>
          <w:pPr>
            <w:pStyle w:val="Header"/>
            <w:widowControl w:val="false"/>
            <w:suppressAutoHyphens w:val="true"/>
            <w:bidi w:val="0"/>
            <w:spacing w:before="0" w:after="0"/>
            <w:jc w:val="left"/>
            <w:rPr>
              <w:sz w:val="32"/>
              <w:szCs w:val="40"/>
            </w:rPr>
          </w:pPr>
          <w:r>
            <w:rPr>
              <w:rFonts w:eastAsia="" w:cs=""/>
              <w:b/>
              <w:bCs/>
              <w:color w:val="7F7F7F" w:themeColor="text1" w:themeShade="ff" w:themeTint="80"/>
              <w:kern w:val="0"/>
              <w:sz w:val="32"/>
              <w:szCs w:val="40"/>
              <w:lang w:val="en-US" w:eastAsia="ja-JP" w:bidi="ar-SA"/>
            </w:rPr>
            <w:t xml:space="preserve">Obec Bulovka</w:t>
          </w:r>
        </w:p>
      </w:tc>
    </w:tr>
  </w:tbl>
  <w:p>
    <w:pPr>
      <w:pStyle w:val="Normal"/>
      <w:spacing w:before="0" w:after="1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nsid w:val="0479E934"/>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3">
    <w:abstractNumId w:val="3"/>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160"/>
      <w:jc w:val="left"/>
    </w:pPr>
    <w:rPr>
      <w:rFonts w:ascii="Aptos" w:hAnsi="Aptos" w:eastAsia="" w:cs="" w:asciiTheme="minorHAnsi" w:cstheme="minorBidi" w:eastAsiaTheme="minorEastAsia" w:hAnsiTheme="minorHAnsi"/>
      <w:color w:val="auto"/>
      <w:kern w:val="0"/>
      <w:sz w:val="24"/>
      <w:szCs w:val="24"/>
      <w:lang w:val="en-US" w:eastAsia="ja-JP" w:bidi="ar-SA"/>
    </w:rPr>
  </w:style>
  <w:style w:type="paragraph" w:styleId="Heading1">
    <w:name w:val="Heading 1"/>
    <w:basedOn w:val="Normal"/>
    <w:next w:val="Normal"/>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unhideWhenUsed/>
    <w:qFormat/>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unhideWhenUsed/>
    <w:qFormat/>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unhideWhenUsed/>
    <w:qFormat/>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unhideWhenUsed/>
    <w:qFormat/>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unhideWhenUsed/>
    <w:qFormat/>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unhideWhenUsed/>
    <w:qFormat/>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qFormat/>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qFormat/>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qFormat/>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qFormat/>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qFormat/>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qFormat/>
    <w:rPr>
      <w:i/>
      <w:iCs/>
      <w:color w:val="404040" w:themeColor="text1" w:themeTint="bf"/>
    </w:rPr>
  </w:style>
  <w:style w:type="character" w:styleId="IntenseQuoteChar" w:customStyle="1">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eaderChar" w:customStyle="1">
    <w:name w:val="Header Char"/>
    <w:basedOn w:val="DefaultParagraphFont"/>
    <w:link w:val="Header"/>
    <w:uiPriority w:val="99"/>
    <w:qFormat/>
    <w:rPr/>
  </w:style>
  <w:style w:type="character" w:styleId="FooterChar" w:customStyle="1">
    <w:name w:val="Footer Char"/>
    <w:basedOn w:val="DefaultParagraphFont"/>
    <w:link w:val="Footer"/>
    <w:uiPriority w:val="99"/>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ptos" w:hAnsi="Aptos" w:cs="Lohit Devanagari"/>
    </w:rPr>
  </w:style>
  <w:style w:type="paragraph" w:styleId="Caption">
    <w:name w:val="Caption"/>
    <w:basedOn w:val="Normal"/>
    <w:qFormat/>
    <w:pPr>
      <w:suppressLineNumbers/>
      <w:spacing w:before="120" w:after="120"/>
    </w:pPr>
    <w:rPr>
      <w:rFonts w:ascii="Aptos" w:hAnsi="Aptos" w:cs="Lohit Devanagari"/>
      <w:i/>
      <w:iCs/>
      <w:sz w:val="24"/>
      <w:szCs w:val="24"/>
    </w:rPr>
  </w:style>
  <w:style w:type="paragraph" w:styleId="Index">
    <w:name w:val="Index"/>
    <w:basedOn w:val="Normal"/>
    <w:qFormat/>
    <w:pPr>
      <w:suppressLineNumbers/>
    </w:pPr>
    <w:rPr>
      <w:rFonts w:ascii="Aptos" w:hAnsi="Aptos" w:cs="Lohit Devanagari"/>
    </w:rPr>
  </w:style>
  <w:style w:type="paragraph" w:styleId="Title">
    <w:name w:val="Title"/>
    <w:basedOn w:val="Normal"/>
    <w:next w:val="Normal"/>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HeaderandFooter">
    <w:name w:val="Header and Footer"/>
    <w:basedOn w:val="Normal"/>
    <w:qFormat/>
    <w:pPr/>
    <w:rPr/>
  </w:style>
  <w:style w:type="paragraph" w:styleId="Header">
    <w:name w:val="Header"/>
    <w:basedOn w:val="Normal"/>
    <w:link w:val="HeaderChar"/>
    <w:uiPriority w:val="99"/>
    <w:unhideWhenUsed/>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pPr>
      <w:tabs>
        <w:tab w:val="clear" w:pos="720"/>
        <w:tab w:val="center" w:pos="4680" w:leader="none"/>
        <w:tab w:val="right" w:pos="9360"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BodyText2">
    <w:name w:val="Body Text 2"/>
    <w:basedOn w:val="Normal"/>
    <w:qFormat/>
    <w:pPr>
      <w:spacing w:lineRule="auto" w:line="480" w:before="0" w:after="12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Bullet">
    <w:name w:val="List Bullet"/>
    <w:basedOn w:val="Normal"/>
    <w:uiPriority w:val="99"/>
    <w:unhideWhenUsed/>
    <w:rsid w:val="00326F90"/>
    <w:pPr>
      <w:numPr>
        <w:numId w:val="3"/>
      </w:numPr>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Application>LibreOffice/7.3.7.2$Linux_X86_64 LibreOffice_project/30$Build-2</Application>
  <AppVersion>15.0000</AppVersion>
  <Pages>2</Pages>
  <Words>337</Words>
  <Characters>2144</Characters>
  <CharactersWithSpaces>2449</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2024-10-22T11:48:02Z</dcterms:created>
  <dc:creator>Martin Lapeš</dc:creator>
  <dc:description/>
  <dc:language>en-US</dc:language>
  <cp:lastModifiedBy>Tomá Lapeš</cp:lastModifiedBy>
  <dcterms:modified xsi:type="dcterms:W3CDTF">2024-12-10T22:24:04Z</dcterms:modified>
  <cp:revision>57</cp:revision>
  <dc:subject/>
  <dc:title/>
  <dc:identifier/>
</cp:coreProperties>
</file>

<file path=docProps/custom.xml><?xml version="1.0" encoding="utf-8"?>
<Properties xmlns="http://schemas.openxmlformats.org/officeDocument/2006/custom-properties" xmlns:vt="http://schemas.openxmlformats.org/officeDocument/2006/docPropsVTypes"/>
</file>